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CA2F2" w14:textId="77777777" w:rsidR="00466C80" w:rsidRPr="00466C80" w:rsidRDefault="00466C80" w:rsidP="00466C80">
      <w:pPr>
        <w:pStyle w:val="Authors"/>
        <w:rPr>
          <w:caps/>
          <w:kern w:val="28"/>
          <w:sz w:val="28"/>
          <w:szCs w:val="28"/>
          <w:lang w:val="en-GB"/>
          <w14:textOutline w14:w="0" w14:cap="flat" w14:cmpd="sng" w14:algn="ctr">
            <w14:noFill/>
            <w14:prstDash w14:val="solid"/>
            <w14:bevel/>
          </w14:textOutline>
        </w:rPr>
      </w:pPr>
      <w:r w:rsidRPr="00466C80">
        <w:rPr>
          <w:caps/>
          <w:kern w:val="28"/>
          <w:sz w:val="28"/>
          <w:szCs w:val="28"/>
          <w:lang w:val="en-GB"/>
          <w14:textOutline w14:w="0" w14:cap="flat" w14:cmpd="sng" w14:algn="ctr">
            <w14:noFill/>
            <w14:prstDash w14:val="solid"/>
            <w14:bevel/>
          </w14:textOutline>
        </w:rPr>
        <w:t xml:space="preserve">The utilisation of assemblage theory in the study of the </w:t>
      </w:r>
    </w:p>
    <w:p w14:paraId="5798984B" w14:textId="77777777" w:rsidR="00466C80" w:rsidRDefault="00466C80" w:rsidP="00466C80">
      <w:pPr>
        <w:pStyle w:val="Authors"/>
        <w:rPr>
          <w:caps/>
          <w:color w:val="auto"/>
          <w:kern w:val="28"/>
          <w:sz w:val="28"/>
          <w:szCs w:val="28"/>
          <w14:textOutline w14:w="0" w14:cap="flat" w14:cmpd="sng" w14:algn="ctr">
            <w14:noFill/>
            <w14:prstDash w14:val="solid"/>
            <w14:bevel/>
          </w14:textOutline>
        </w:rPr>
      </w:pPr>
      <w:r w:rsidRPr="00466C80">
        <w:rPr>
          <w:caps/>
          <w:color w:val="auto"/>
          <w:kern w:val="28"/>
          <w:sz w:val="28"/>
          <w:szCs w:val="28"/>
          <w:lang w:val="en-GB"/>
          <w14:textOutline w14:w="0" w14:cap="flat" w14:cmpd="sng" w14:algn="ctr">
            <w14:noFill/>
            <w14:prstDash w14:val="solid"/>
            <w14:bevel/>
          </w14:textOutline>
        </w:rPr>
        <w:t>repurposing of redundant city centre space</w:t>
      </w:r>
      <w:r w:rsidRPr="00466C80">
        <w:rPr>
          <w:caps/>
          <w:color w:val="auto"/>
          <w:kern w:val="28"/>
          <w:sz w:val="28"/>
          <w:szCs w:val="28"/>
          <w14:textOutline w14:w="0" w14:cap="flat" w14:cmpd="sng" w14:algn="ctr">
            <w14:noFill/>
            <w14:prstDash w14:val="solid"/>
            <w14:bevel/>
          </w14:textOutline>
        </w:rPr>
        <w:t xml:space="preserve"> </w:t>
      </w:r>
    </w:p>
    <w:p w14:paraId="7015C6A5" w14:textId="1E1082B2" w:rsidR="008C0A6B" w:rsidRPr="00615840" w:rsidRDefault="00AE3CA1" w:rsidP="00AE3CA1">
      <w:pPr>
        <w:pStyle w:val="Authors"/>
        <w:rPr>
          <w:caps/>
          <w:color w:val="auto"/>
        </w:rPr>
      </w:pPr>
      <w:r w:rsidRPr="00615840">
        <w:rPr>
          <w:caps/>
          <w:color w:val="auto"/>
          <w:lang w:val="en-GB"/>
        </w:rPr>
        <w:t>Jackson</w:t>
      </w:r>
      <w:r w:rsidRPr="00615840">
        <w:rPr>
          <w:caps/>
          <w:color w:val="auto"/>
          <w:lang w:val="en-GB"/>
        </w:rPr>
        <w:t>*</w:t>
      </w:r>
      <w:r w:rsidRPr="00615840">
        <w:rPr>
          <w:caps/>
          <w:color w:val="auto"/>
          <w:lang w:val="en-GB"/>
        </w:rPr>
        <w:t>, C., Lawson</w:t>
      </w:r>
      <w:r w:rsidRPr="00615840">
        <w:rPr>
          <w:caps/>
          <w:color w:val="auto"/>
          <w:lang w:val="en-GB"/>
        </w:rPr>
        <w:t>*</w:t>
      </w:r>
      <w:r w:rsidRPr="00615840">
        <w:rPr>
          <w:caps/>
          <w:color w:val="auto"/>
          <w:lang w:val="en-GB"/>
        </w:rPr>
        <w:t>, V., and Orr</w:t>
      </w:r>
      <w:r w:rsidRPr="00615840">
        <w:rPr>
          <w:caps/>
          <w:color w:val="auto"/>
          <w:lang w:val="en-GB"/>
        </w:rPr>
        <w:t>**</w:t>
      </w:r>
      <w:r w:rsidRPr="00615840">
        <w:rPr>
          <w:caps/>
          <w:color w:val="auto"/>
          <w:lang w:val="en-GB"/>
        </w:rPr>
        <w:t>, A.</w:t>
      </w:r>
      <w:r w:rsidR="00AD0AC4" w:rsidRPr="00615840">
        <w:rPr>
          <w:caps/>
          <w:color w:val="auto"/>
        </w:rPr>
        <w:t xml:space="preserve"> </w:t>
      </w:r>
    </w:p>
    <w:p w14:paraId="668E0A5E" w14:textId="1CF6422E" w:rsidR="00615840" w:rsidRPr="00615840" w:rsidRDefault="00615840" w:rsidP="00615840">
      <w:pPr>
        <w:pStyle w:val="Heading"/>
        <w:jc w:val="center"/>
        <w:rPr>
          <w:caps w:val="0"/>
          <w:color w:val="auto"/>
          <w:lang w:val="en-US"/>
          <w14:textOutline w14:w="0" w14:cap="rnd" w14:cmpd="sng" w14:algn="ctr">
            <w14:noFill/>
            <w14:prstDash w14:val="solid"/>
            <w14:bevel/>
          </w14:textOutline>
        </w:rPr>
      </w:pPr>
      <w:r>
        <w:rPr>
          <w:caps w:val="0"/>
          <w:color w:val="auto"/>
          <w:lang w:val="en-US"/>
          <w14:textOutline w14:w="0" w14:cap="rnd" w14:cmpd="sng" w14:algn="ctr">
            <w14:noFill/>
            <w14:prstDash w14:val="solid"/>
            <w14:bevel/>
          </w14:textOutline>
        </w:rPr>
        <w:t>*</w:t>
      </w:r>
      <w:r w:rsidRPr="00615840">
        <w:rPr>
          <w:caps w:val="0"/>
          <w:color w:val="auto"/>
          <w:lang w:val="en-US"/>
          <w14:textOutline w14:w="0" w14:cap="rnd" w14:cmpd="sng" w14:algn="ctr">
            <w14:noFill/>
            <w14:prstDash w14:val="solid"/>
            <w14:bevel/>
          </w14:textOutline>
        </w:rPr>
        <w:t>Department of Urban Studies and Planning, University of Sheffield, UK</w:t>
      </w:r>
    </w:p>
    <w:p w14:paraId="398FB903" w14:textId="77777777" w:rsidR="00615840" w:rsidRDefault="00615840" w:rsidP="00615840">
      <w:pPr>
        <w:pStyle w:val="Heading"/>
        <w:jc w:val="center"/>
        <w:rPr>
          <w:caps w:val="0"/>
          <w:color w:val="auto"/>
          <w:lang w:val="en-US"/>
          <w14:textOutline w14:w="0" w14:cap="rnd" w14:cmpd="sng" w14:algn="ctr">
            <w14:noFill/>
            <w14:prstDash w14:val="solid"/>
            <w14:bevel/>
          </w14:textOutline>
        </w:rPr>
      </w:pPr>
      <w:r>
        <w:rPr>
          <w:caps w:val="0"/>
          <w:color w:val="auto"/>
          <w:lang w:val="en-US"/>
          <w14:textOutline w14:w="0" w14:cap="rnd" w14:cmpd="sng" w14:algn="ctr">
            <w14:noFill/>
            <w14:prstDash w14:val="solid"/>
            <w14:bevel/>
          </w14:textOutline>
        </w:rPr>
        <w:t>**</w:t>
      </w:r>
      <w:r w:rsidRPr="00615840">
        <w:rPr>
          <w:caps w:val="0"/>
          <w:color w:val="auto"/>
          <w:lang w:val="en-US"/>
          <w14:textOutline w14:w="0" w14:cap="rnd" w14:cmpd="sng" w14:algn="ctr">
            <w14:noFill/>
            <w14:prstDash w14:val="solid"/>
            <w14:bevel/>
          </w14:textOutline>
        </w:rPr>
        <w:t>Urban Studies, School of Social and Political Sciences, University of Glasgow, UK</w:t>
      </w:r>
    </w:p>
    <w:p w14:paraId="3D9A8F0C" w14:textId="77777777" w:rsidR="00615840" w:rsidRDefault="00615840" w:rsidP="00615840">
      <w:pPr>
        <w:pStyle w:val="Heading"/>
        <w:jc w:val="center"/>
        <w:rPr>
          <w:caps w:val="0"/>
          <w:color w:val="auto"/>
          <w:lang w:val="en-US"/>
          <w14:textOutline w14:w="0" w14:cap="rnd" w14:cmpd="sng" w14:algn="ctr">
            <w14:noFill/>
            <w14:prstDash w14:val="solid"/>
            <w14:bevel/>
          </w14:textOutline>
        </w:rPr>
      </w:pPr>
    </w:p>
    <w:p w14:paraId="5BD81128" w14:textId="59B987C6" w:rsidR="008C0A6B" w:rsidRPr="00466C80" w:rsidRDefault="00AD0AC4" w:rsidP="00615840">
      <w:pPr>
        <w:pStyle w:val="Heading"/>
        <w:rPr>
          <w:color w:val="auto"/>
          <w:lang w:val="en-GB"/>
        </w:rPr>
      </w:pPr>
      <w:r w:rsidRPr="00466C80">
        <w:rPr>
          <w:color w:val="auto"/>
          <w:lang w:val="en-GB"/>
        </w:rPr>
        <w:t>Abstract</w:t>
      </w:r>
    </w:p>
    <w:p w14:paraId="072C1C07" w14:textId="7034ABD8" w:rsidR="00D94361" w:rsidRDefault="00615840">
      <w:pPr>
        <w:pStyle w:val="Body"/>
        <w:rPr>
          <w:color w:val="auto"/>
        </w:rPr>
      </w:pPr>
      <w:r w:rsidRPr="001A5B3B">
        <w:rPr>
          <w:rFonts w:cstheme="minorHAnsi"/>
        </w:rPr>
        <w:t xml:space="preserve">Repurposing a building, rather than demolishing, means a new scheme tends to start from a very inefficient scenario. This paper seeks to better understand how city </w:t>
      </w:r>
      <w:proofErr w:type="spellStart"/>
      <w:r w:rsidRPr="001A5B3B">
        <w:rPr>
          <w:rFonts w:cstheme="minorHAnsi"/>
        </w:rPr>
        <w:t>centre</w:t>
      </w:r>
      <w:proofErr w:type="spellEnd"/>
      <w:r w:rsidRPr="001A5B3B">
        <w:rPr>
          <w:rFonts w:cstheme="minorHAnsi"/>
        </w:rPr>
        <w:t xml:space="preserve"> repurposing schemes are shaped by property-related factors, across five case study developments where former uses had contracted or ceased altogether. Faced with the subsequent empty space, the paper critically exa</w:t>
      </w:r>
      <w:r w:rsidRPr="00F3158D">
        <w:rPr>
          <w:rFonts w:cstheme="minorHAnsi"/>
        </w:rPr>
        <w:t xml:space="preserve">mines 1) the extent to which a building’s material content, and that of its surroundings, determines decisions at the feasibility stage of city </w:t>
      </w:r>
      <w:proofErr w:type="spellStart"/>
      <w:r w:rsidRPr="00F3158D">
        <w:rPr>
          <w:rFonts w:cstheme="minorHAnsi"/>
        </w:rPr>
        <w:t>centre</w:t>
      </w:r>
      <w:proofErr w:type="spellEnd"/>
      <w:r w:rsidRPr="00F3158D">
        <w:rPr>
          <w:rFonts w:cstheme="minorHAnsi"/>
        </w:rPr>
        <w:t xml:space="preserve"> repurposing schemes, and 2) which material aspects assisted or resisted the actual act of change, once repurposing works had commenced. </w:t>
      </w:r>
      <w:bookmarkStart w:id="0" w:name="_Hlk83025875"/>
      <w:r w:rsidRPr="00F3158D">
        <w:rPr>
          <w:rFonts w:cstheme="minorHAnsi"/>
        </w:rPr>
        <w:t>In this vein, initial empirical results suggest the importance of innovation in overcoming the sheer space taken-up by infrastructure passing vertically through a building</w:t>
      </w:r>
      <w:bookmarkStart w:id="1" w:name="_Hlk83029634"/>
      <w:bookmarkEnd w:id="0"/>
      <w:r w:rsidRPr="00F3158D">
        <w:rPr>
          <w:rFonts w:cstheme="minorHAnsi"/>
        </w:rPr>
        <w:t xml:space="preserve"> and in communicating externally what’s changing internally, </w:t>
      </w:r>
      <w:bookmarkEnd w:id="1"/>
      <w:r w:rsidRPr="00F3158D">
        <w:rPr>
          <w:rFonts w:cstheme="minorHAnsi"/>
        </w:rPr>
        <w:t>and the importance of flexibility in planning policy to cater for uses in the ascendance, in these building ‘</w:t>
      </w:r>
      <w:proofErr w:type="gramStart"/>
      <w:r w:rsidRPr="00F3158D">
        <w:rPr>
          <w:rFonts w:cstheme="minorHAnsi"/>
        </w:rPr>
        <w:t>shells’</w:t>
      </w:r>
      <w:proofErr w:type="gramEnd"/>
      <w:r w:rsidRPr="00F3158D">
        <w:rPr>
          <w:rFonts w:cstheme="minorHAnsi"/>
        </w:rPr>
        <w:t>.</w:t>
      </w:r>
    </w:p>
    <w:p w14:paraId="57E03BF9" w14:textId="77777777" w:rsidR="00571C78" w:rsidRDefault="00571C78">
      <w:pPr>
        <w:pStyle w:val="Body"/>
        <w:rPr>
          <w:color w:val="auto"/>
        </w:rPr>
      </w:pPr>
    </w:p>
    <w:p w14:paraId="11325147" w14:textId="7EDBF8AF" w:rsidR="008C0A6B" w:rsidRPr="006C224F" w:rsidRDefault="00AD0AC4">
      <w:pPr>
        <w:pStyle w:val="Body"/>
        <w:rPr>
          <w:color w:val="auto"/>
        </w:rPr>
      </w:pPr>
      <w:r w:rsidRPr="006C224F">
        <w:rPr>
          <w:color w:val="auto"/>
        </w:rPr>
        <w:t xml:space="preserve">Keywords: </w:t>
      </w:r>
    </w:p>
    <w:p w14:paraId="7DF2C66F" w14:textId="7A718D57" w:rsidR="008C0A6B" w:rsidRDefault="00615840">
      <w:pPr>
        <w:pStyle w:val="Body"/>
        <w:rPr>
          <w:rFonts w:cstheme="minorHAnsi"/>
        </w:rPr>
      </w:pPr>
      <w:r w:rsidRPr="001A5B3B">
        <w:rPr>
          <w:rFonts w:cstheme="minorHAnsi"/>
        </w:rPr>
        <w:t xml:space="preserve">Assemblage, repurposing space, city </w:t>
      </w:r>
      <w:proofErr w:type="spellStart"/>
      <w:r w:rsidRPr="001A5B3B">
        <w:rPr>
          <w:rFonts w:cstheme="minorHAnsi"/>
        </w:rPr>
        <w:t>centre</w:t>
      </w:r>
      <w:proofErr w:type="spellEnd"/>
      <w:r w:rsidRPr="001A5B3B">
        <w:rPr>
          <w:rFonts w:cstheme="minorHAnsi"/>
        </w:rPr>
        <w:t>, retail</w:t>
      </w:r>
    </w:p>
    <w:p w14:paraId="71483731" w14:textId="7A7A534D" w:rsidR="00615840" w:rsidRDefault="00615840">
      <w:pPr>
        <w:pStyle w:val="Body"/>
        <w:rPr>
          <w:rFonts w:cstheme="minorHAnsi"/>
        </w:rPr>
      </w:pPr>
    </w:p>
    <w:p w14:paraId="41DA9E98" w14:textId="08A1E206" w:rsidR="00615840" w:rsidRPr="006C224F" w:rsidRDefault="00615840">
      <w:pPr>
        <w:pStyle w:val="Body"/>
        <w:rPr>
          <w:color w:val="auto"/>
        </w:rPr>
      </w:pPr>
      <w:r w:rsidRPr="00570A6C">
        <w:rPr>
          <w:rFonts w:cstheme="minorHAnsi"/>
          <w:i/>
        </w:rPr>
        <w:t xml:space="preserve">This is work in progress, the findings are preliminary and the conclusions still to be </w:t>
      </w:r>
      <w:proofErr w:type="spellStart"/>
      <w:r w:rsidRPr="00570A6C">
        <w:rPr>
          <w:rFonts w:cstheme="minorHAnsi"/>
          <w:i/>
        </w:rPr>
        <w:t>finalised</w:t>
      </w:r>
      <w:proofErr w:type="spellEnd"/>
      <w:r w:rsidRPr="00570A6C">
        <w:rPr>
          <w:rFonts w:cstheme="minorHAnsi"/>
          <w:i/>
        </w:rPr>
        <w:t>.</w:t>
      </w:r>
    </w:p>
    <w:p w14:paraId="7DC34EEF" w14:textId="77777777" w:rsidR="00571C78" w:rsidRPr="00615840" w:rsidRDefault="00571C78">
      <w:pPr>
        <w:pStyle w:val="Heading"/>
        <w:rPr>
          <w:color w:val="auto"/>
          <w:lang w:val="en-GB"/>
        </w:rPr>
      </w:pPr>
      <w:bookmarkStart w:id="2" w:name="_Hlk88035156"/>
    </w:p>
    <w:p w14:paraId="65B3923F" w14:textId="046ADA3D" w:rsidR="008C0A6B" w:rsidRPr="006C224F" w:rsidRDefault="006E5A69">
      <w:pPr>
        <w:pStyle w:val="Heading"/>
        <w:rPr>
          <w:color w:val="auto"/>
          <w:lang w:val="en-US"/>
        </w:rPr>
      </w:pPr>
      <w:r>
        <w:rPr>
          <w:color w:val="auto"/>
          <w:lang w:val="en-US"/>
        </w:rPr>
        <w:t>MAIN TEXT</w:t>
      </w:r>
      <w:r w:rsidR="00D94361">
        <w:rPr>
          <w:color w:val="auto"/>
          <w:lang w:val="en-US"/>
        </w:rPr>
        <w:t xml:space="preserve"> </w:t>
      </w:r>
    </w:p>
    <w:bookmarkEnd w:id="2"/>
    <w:p w14:paraId="604F3C13" w14:textId="77777777" w:rsidR="008820ED" w:rsidRPr="008820ED" w:rsidRDefault="008820ED" w:rsidP="008820ED">
      <w:pPr>
        <w:pStyle w:val="NoSpacing"/>
        <w:spacing w:after="120"/>
        <w:rPr>
          <w:rFonts w:ascii="Times New Roman" w:hAnsi="Times New Roman" w:cs="Times New Roman"/>
          <w:b/>
          <w:bCs/>
          <w:iCs/>
        </w:rPr>
      </w:pPr>
      <w:r w:rsidRPr="008820ED">
        <w:rPr>
          <w:rFonts w:ascii="Times New Roman" w:hAnsi="Times New Roman" w:cs="Times New Roman"/>
          <w:b/>
          <w:bCs/>
          <w:iCs/>
        </w:rPr>
        <w:t>1. Introduction</w:t>
      </w:r>
    </w:p>
    <w:p w14:paraId="5AC08290" w14:textId="77777777" w:rsidR="008820ED" w:rsidRPr="008820ED" w:rsidRDefault="008820ED" w:rsidP="008820ED">
      <w:pPr>
        <w:pStyle w:val="NoSpacing"/>
        <w:jc w:val="both"/>
        <w:rPr>
          <w:rFonts w:ascii="Times New Roman" w:hAnsi="Times New Roman" w:cs="Times New Roman"/>
        </w:rPr>
      </w:pPr>
      <w:bookmarkStart w:id="3" w:name="_Hlk83023100"/>
      <w:r w:rsidRPr="008820ED">
        <w:rPr>
          <w:rFonts w:ascii="Times New Roman" w:hAnsi="Times New Roman" w:cs="Times New Roman"/>
        </w:rPr>
        <w:t xml:space="preserve">This paper focuses on the role of buildings/spaces in the formation stage of city centre place assemblages (repurposing schemes) across five case studies, where former uses had contracted or ceased altogether, raising questions about how to fill the subsequent empty space with something else.  </w:t>
      </w:r>
      <w:proofErr w:type="gramStart"/>
      <w:r w:rsidRPr="008820ED">
        <w:rPr>
          <w:rFonts w:ascii="Times New Roman" w:hAnsi="Times New Roman" w:cs="Times New Roman"/>
        </w:rPr>
        <w:t>In light of</w:t>
      </w:r>
      <w:proofErr w:type="gramEnd"/>
      <w:r w:rsidRPr="008820ED">
        <w:rPr>
          <w:rFonts w:ascii="Times New Roman" w:hAnsi="Times New Roman" w:cs="Times New Roman"/>
        </w:rPr>
        <w:t xml:space="preserve"> this empty space, the study critically examines 1)</w:t>
      </w:r>
      <w:bookmarkStart w:id="4" w:name="_Hlk82946177"/>
      <w:r w:rsidRPr="008820ED">
        <w:rPr>
          <w:rFonts w:ascii="Times New Roman" w:hAnsi="Times New Roman" w:cs="Times New Roman"/>
        </w:rPr>
        <w:t xml:space="preserve"> the extent to which a building’s material content, and that of its surroundings, determines decisions at the feasibility stage of city centre repurposing schemes, </w:t>
      </w:r>
      <w:bookmarkEnd w:id="4"/>
      <w:r w:rsidRPr="008820ED">
        <w:rPr>
          <w:rFonts w:ascii="Times New Roman" w:hAnsi="Times New Roman" w:cs="Times New Roman"/>
        </w:rPr>
        <w:t xml:space="preserve">and 2) which material aspects of the building and its surroundings assisted or resisted the actual act of change, once works had commenced.  </w:t>
      </w:r>
      <w:bookmarkStart w:id="5" w:name="_Hlk83023402"/>
      <w:bookmarkEnd w:id="3"/>
      <w:r w:rsidRPr="008820ED">
        <w:rPr>
          <w:rFonts w:ascii="Times New Roman" w:hAnsi="Times New Roman" w:cs="Times New Roman"/>
        </w:rPr>
        <w:t>The overall aim is to better understand ‘what works’ in the repurposing of vacated city centre properties</w:t>
      </w:r>
      <w:r w:rsidRPr="008820ED">
        <w:rPr>
          <w:rFonts w:ascii="Times New Roman" w:hAnsi="Times New Roman" w:cs="Times New Roman"/>
          <w:b/>
          <w:bCs/>
        </w:rPr>
        <w:t xml:space="preserve"> </w:t>
      </w:r>
      <w:r w:rsidRPr="008820ED">
        <w:rPr>
          <w:rFonts w:ascii="Times New Roman" w:hAnsi="Times New Roman" w:cs="Times New Roman"/>
        </w:rPr>
        <w:t>– through finding the conditions under which something new may be created.</w:t>
      </w:r>
      <w:bookmarkEnd w:id="5"/>
      <w:r w:rsidRPr="008820ED">
        <w:rPr>
          <w:rFonts w:ascii="Times New Roman" w:hAnsi="Times New Roman" w:cs="Times New Roman"/>
        </w:rPr>
        <w:t xml:space="preserve">  </w:t>
      </w:r>
    </w:p>
    <w:p w14:paraId="265DAA1A" w14:textId="77777777" w:rsidR="008820ED" w:rsidRPr="008820ED" w:rsidRDefault="008820ED" w:rsidP="008820ED">
      <w:pPr>
        <w:pStyle w:val="NoSpacing"/>
        <w:jc w:val="both"/>
        <w:rPr>
          <w:rFonts w:ascii="Times New Roman" w:hAnsi="Times New Roman" w:cs="Times New Roman"/>
        </w:rPr>
      </w:pPr>
    </w:p>
    <w:p w14:paraId="72536E79" w14:textId="77777777" w:rsidR="008820ED" w:rsidRPr="008820ED" w:rsidRDefault="008820ED" w:rsidP="008820ED">
      <w:pPr>
        <w:pStyle w:val="NoSpacing"/>
        <w:jc w:val="both"/>
        <w:rPr>
          <w:rFonts w:ascii="Times New Roman" w:hAnsi="Times New Roman" w:cs="Times New Roman"/>
          <w:color w:val="0000FF"/>
        </w:rPr>
      </w:pPr>
      <w:r w:rsidRPr="008820ED">
        <w:rPr>
          <w:rFonts w:ascii="Times New Roman" w:hAnsi="Times New Roman" w:cs="Times New Roman"/>
        </w:rPr>
        <w:t xml:space="preserve">This paper sits within, and is motivated by, the desire to better </w:t>
      </w:r>
      <w:bookmarkStart w:id="6" w:name="_Hlk65174587"/>
      <w:r w:rsidRPr="008820ED">
        <w:rPr>
          <w:rFonts w:ascii="Times New Roman" w:hAnsi="Times New Roman" w:cs="Times New Roman"/>
        </w:rPr>
        <w:t xml:space="preserve">understand the making of more </w:t>
      </w:r>
      <w:bookmarkStart w:id="7" w:name="_Hlk65174510"/>
      <w:bookmarkEnd w:id="6"/>
      <w:r w:rsidRPr="008820ED">
        <w:rPr>
          <w:rFonts w:ascii="Times New Roman" w:hAnsi="Times New Roman" w:cs="Times New Roman"/>
        </w:rPr>
        <w:t>resilient and adaptive retailing spaces</w:t>
      </w:r>
      <w:bookmarkEnd w:id="7"/>
      <w:r w:rsidRPr="008820ED">
        <w:rPr>
          <w:rFonts w:ascii="Times New Roman" w:hAnsi="Times New Roman" w:cs="Times New Roman"/>
        </w:rPr>
        <w:t xml:space="preserve"> This is brought about by </w:t>
      </w:r>
      <w:proofErr w:type="gramStart"/>
      <w:r w:rsidRPr="008820ED">
        <w:rPr>
          <w:rFonts w:ascii="Times New Roman" w:hAnsi="Times New Roman" w:cs="Times New Roman"/>
        </w:rPr>
        <w:t>a number of</w:t>
      </w:r>
      <w:proofErr w:type="gramEnd"/>
      <w:r w:rsidRPr="008820ED">
        <w:rPr>
          <w:rFonts w:ascii="Times New Roman" w:hAnsi="Times New Roman" w:cs="Times New Roman"/>
        </w:rPr>
        <w:t xml:space="preserve"> issues which are resulting in the need to repurpose city centre space. Pre-Covid 19, there was already a surplus of city centre retail space for reasons such as the 2008 financial crisis continuing to hamper consumer confidence/spending power and activities such as shopping and banking increasingly moving online. This resulted not only in redundant city centre space, but a decline in footfall for remaining city centre businesses. The situation has been exacerbated by the rolling Covid-19 lockdowns, which have left many retailers struggling to survive the lockdowns’ impact on trade. This issue also faces ventures in the arts, hospitality, </w:t>
      </w:r>
      <w:proofErr w:type="gramStart"/>
      <w:r w:rsidRPr="008820ED">
        <w:rPr>
          <w:rFonts w:ascii="Times New Roman" w:hAnsi="Times New Roman" w:cs="Times New Roman"/>
        </w:rPr>
        <w:t>entertainment</w:t>
      </w:r>
      <w:proofErr w:type="gramEnd"/>
      <w:r w:rsidRPr="008820ED">
        <w:rPr>
          <w:rFonts w:ascii="Times New Roman" w:hAnsi="Times New Roman" w:cs="Times New Roman"/>
        </w:rPr>
        <w:t xml:space="preserve"> and recreation sectors. </w:t>
      </w:r>
      <w:proofErr w:type="gramStart"/>
      <w:r w:rsidRPr="008820ED">
        <w:rPr>
          <w:rFonts w:ascii="Times New Roman" w:hAnsi="Times New Roman" w:cs="Times New Roman"/>
        </w:rPr>
        <w:t>In light of</w:t>
      </w:r>
      <w:proofErr w:type="gramEnd"/>
      <w:r w:rsidRPr="008820ED">
        <w:rPr>
          <w:rFonts w:ascii="Times New Roman" w:hAnsi="Times New Roman" w:cs="Times New Roman"/>
        </w:rPr>
        <w:t xml:space="preserve"> this, </w:t>
      </w:r>
      <w:bookmarkStart w:id="8" w:name="_Hlk66695194"/>
      <w:r w:rsidRPr="008820ED">
        <w:rPr>
          <w:rFonts w:ascii="Times New Roman" w:hAnsi="Times New Roman" w:cs="Times New Roman"/>
        </w:rPr>
        <w:t>the repurposing of city centre</w:t>
      </w:r>
      <w:r w:rsidRPr="008820ED">
        <w:rPr>
          <w:rFonts w:ascii="Times New Roman" w:hAnsi="Times New Roman" w:cs="Times New Roman"/>
          <w:b/>
          <w:bCs/>
        </w:rPr>
        <w:t xml:space="preserve"> </w:t>
      </w:r>
      <w:r w:rsidRPr="008820ED">
        <w:rPr>
          <w:rFonts w:ascii="Times New Roman" w:hAnsi="Times New Roman" w:cs="Times New Roman"/>
        </w:rPr>
        <w:t xml:space="preserve">space, particularly former retail floorspace, </w:t>
      </w:r>
      <w:bookmarkEnd w:id="8"/>
      <w:r w:rsidRPr="008820ED">
        <w:rPr>
          <w:rFonts w:ascii="Times New Roman" w:hAnsi="Times New Roman" w:cs="Times New Roman"/>
        </w:rPr>
        <w:t>needs to be better understood</w:t>
      </w:r>
      <w:bookmarkStart w:id="9" w:name="_Hlk65224954"/>
      <w:r w:rsidRPr="008820ED">
        <w:rPr>
          <w:rFonts w:ascii="Times New Roman" w:hAnsi="Times New Roman" w:cs="Times New Roman"/>
        </w:rPr>
        <w:t xml:space="preserve">. As such, for our study, assemblage theory is employed, whereby the appeal of assemblage analysis lies not only in its ability to deal simultaneously with complex retail arrangements (including, for example, buildings, people, tenancies, </w:t>
      </w:r>
      <w:proofErr w:type="gramStart"/>
      <w:r w:rsidRPr="008820ED">
        <w:rPr>
          <w:rFonts w:ascii="Times New Roman" w:hAnsi="Times New Roman" w:cs="Times New Roman"/>
        </w:rPr>
        <w:t>merchandise</w:t>
      </w:r>
      <w:proofErr w:type="gramEnd"/>
      <w:r w:rsidRPr="008820ED">
        <w:rPr>
          <w:rFonts w:ascii="Times New Roman" w:hAnsi="Times New Roman" w:cs="Times New Roman"/>
        </w:rPr>
        <w:t xml:space="preserve"> and technologies), but also in its focus on ‘formation stories’. In terms of formations stories, investigating the spatial processes which have enabled change to take place is of key interest </w:t>
      </w:r>
      <w:r w:rsidRPr="008820ED">
        <w:rPr>
          <w:rFonts w:ascii="Times New Roman" w:hAnsi="Times New Roman" w:cs="Times New Roman"/>
        </w:rPr>
        <w:lastRenderedPageBreak/>
        <w:t xml:space="preserve">to our study. More specifically, given our study’s interest in the adaptation of retail space – that is, the actual act of change – </w:t>
      </w:r>
      <w:bookmarkStart w:id="10" w:name="_Hlk65234192"/>
      <w:r w:rsidRPr="008820ED">
        <w:rPr>
          <w:rFonts w:ascii="Times New Roman" w:hAnsi="Times New Roman" w:cs="Times New Roman"/>
        </w:rPr>
        <w:t>the focus of our study is the role of the built fabric/materials in retail/retail repurposing ventures. To examine such ventures, a case study approach is utilised,</w:t>
      </w:r>
      <w:bookmarkEnd w:id="9"/>
      <w:r w:rsidRPr="008820ED">
        <w:rPr>
          <w:rFonts w:ascii="Times New Roman" w:hAnsi="Times New Roman" w:cs="Times New Roman"/>
        </w:rPr>
        <w:t xml:space="preserve"> investigating five retail adaptation schemes across Glasgow, Edinburgh, Liverpool, </w:t>
      </w:r>
      <w:proofErr w:type="gramStart"/>
      <w:r w:rsidRPr="008820ED">
        <w:rPr>
          <w:rFonts w:ascii="Times New Roman" w:hAnsi="Times New Roman" w:cs="Times New Roman"/>
        </w:rPr>
        <w:t>Nottingham</w:t>
      </w:r>
      <w:proofErr w:type="gramEnd"/>
      <w:r w:rsidRPr="008820ED">
        <w:rPr>
          <w:rFonts w:ascii="Times New Roman" w:hAnsi="Times New Roman" w:cs="Times New Roman"/>
        </w:rPr>
        <w:t xml:space="preserve"> and Hull, whereby a case study approach enables innovations in real estate practice, planning practice and building form to be explored.</w:t>
      </w:r>
      <w:bookmarkEnd w:id="10"/>
      <w:r w:rsidRPr="008820ED">
        <w:rPr>
          <w:rFonts w:ascii="Times New Roman" w:hAnsi="Times New Roman" w:cs="Times New Roman"/>
          <w:b/>
          <w:bCs/>
          <w:color w:val="FF0000"/>
        </w:rPr>
        <w:t xml:space="preserve"> </w:t>
      </w:r>
    </w:p>
    <w:p w14:paraId="05C21FA8" w14:textId="77777777" w:rsidR="008820ED" w:rsidRPr="008820ED" w:rsidRDefault="008820ED" w:rsidP="008820ED">
      <w:pPr>
        <w:pStyle w:val="NoSpacing"/>
        <w:jc w:val="both"/>
        <w:rPr>
          <w:rFonts w:ascii="Times New Roman" w:hAnsi="Times New Roman" w:cs="Times New Roman"/>
          <w:b/>
          <w:bCs/>
          <w:color w:val="FF0000"/>
        </w:rPr>
      </w:pPr>
    </w:p>
    <w:p w14:paraId="034521B6" w14:textId="77777777" w:rsidR="008820ED" w:rsidRPr="008820ED" w:rsidRDefault="008820ED" w:rsidP="008820ED">
      <w:pPr>
        <w:jc w:val="both"/>
        <w:rPr>
          <w:rFonts w:eastAsia="Times New Roman"/>
          <w:sz w:val="22"/>
          <w:szCs w:val="22"/>
          <w:lang w:eastAsia="en-GB"/>
        </w:rPr>
      </w:pPr>
      <w:r w:rsidRPr="008820ED">
        <w:rPr>
          <w:rFonts w:eastAsia="Times New Roman"/>
          <w:sz w:val="22"/>
          <w:szCs w:val="22"/>
          <w:lang w:eastAsia="en-GB"/>
        </w:rPr>
        <w:t xml:space="preserve">Our research investigates these five city </w:t>
      </w:r>
      <w:proofErr w:type="spellStart"/>
      <w:r w:rsidRPr="008820ED">
        <w:rPr>
          <w:rFonts w:eastAsia="Times New Roman"/>
          <w:sz w:val="22"/>
          <w:szCs w:val="22"/>
          <w:lang w:eastAsia="en-GB"/>
        </w:rPr>
        <w:t>centre</w:t>
      </w:r>
      <w:proofErr w:type="spellEnd"/>
      <w:r w:rsidRPr="008820ED">
        <w:rPr>
          <w:rFonts w:eastAsia="Times New Roman"/>
          <w:sz w:val="22"/>
          <w:szCs w:val="22"/>
          <w:lang w:eastAsia="en-GB"/>
        </w:rPr>
        <w:t xml:space="preserve"> retail assemblages from the specific viewpoint of their materiality. To situate our work, it differs from previous </w:t>
      </w:r>
      <w:proofErr w:type="spellStart"/>
      <w:r w:rsidRPr="008820ED">
        <w:rPr>
          <w:rFonts w:eastAsia="Times New Roman"/>
          <w:sz w:val="22"/>
          <w:szCs w:val="22"/>
          <w:lang w:eastAsia="en-GB"/>
        </w:rPr>
        <w:t>materialities</w:t>
      </w:r>
      <w:proofErr w:type="spellEnd"/>
      <w:r w:rsidRPr="008820ED">
        <w:rPr>
          <w:rFonts w:eastAsia="Times New Roman"/>
          <w:sz w:val="22"/>
          <w:szCs w:val="22"/>
          <w:lang w:eastAsia="en-GB"/>
        </w:rPr>
        <w:t xml:space="preserve">/urbanism research, such as that by </w:t>
      </w:r>
      <w:r w:rsidRPr="008820ED">
        <w:rPr>
          <w:rFonts w:eastAsia="Verdana"/>
          <w:kern w:val="24"/>
          <w:sz w:val="22"/>
          <w:szCs w:val="22"/>
        </w:rPr>
        <w:t xml:space="preserve">McFarlane (2011), </w:t>
      </w:r>
      <w:proofErr w:type="spellStart"/>
      <w:r w:rsidRPr="008820ED">
        <w:rPr>
          <w:rFonts w:eastAsia="Verdana"/>
          <w:kern w:val="24"/>
          <w:sz w:val="22"/>
          <w:szCs w:val="22"/>
        </w:rPr>
        <w:t>Soaita</w:t>
      </w:r>
      <w:proofErr w:type="spellEnd"/>
      <w:r w:rsidRPr="008820ED">
        <w:rPr>
          <w:rFonts w:eastAsia="Verdana"/>
          <w:kern w:val="24"/>
          <w:sz w:val="22"/>
          <w:szCs w:val="22"/>
        </w:rPr>
        <w:t xml:space="preserve"> and McKee (2019), and Hillier (2011). These three studies play a key role in the development of our approach, however. For example, </w:t>
      </w:r>
      <w:r w:rsidRPr="008820ED">
        <w:rPr>
          <w:rFonts w:eastAsia="Times New Roman"/>
          <w:sz w:val="22"/>
          <w:szCs w:val="22"/>
          <w:lang w:eastAsia="en-GB"/>
        </w:rPr>
        <w:t xml:space="preserve">McFarlane (2011) focuses on materials (particularly those of housing and infrastructure) as a lens to reveal what their materiality says about the experience of living in informal settlements in Mumbai. </w:t>
      </w:r>
      <w:proofErr w:type="spellStart"/>
      <w:r w:rsidRPr="008820ED">
        <w:rPr>
          <w:sz w:val="22"/>
          <w:szCs w:val="22"/>
        </w:rPr>
        <w:t>Soaita</w:t>
      </w:r>
      <w:proofErr w:type="spellEnd"/>
      <w:r w:rsidRPr="008820ED">
        <w:rPr>
          <w:sz w:val="22"/>
          <w:szCs w:val="22"/>
        </w:rPr>
        <w:t xml:space="preserve"> and McKee (2019) explore</w:t>
      </w:r>
      <w:r w:rsidRPr="008820ED">
        <w:rPr>
          <w:rFonts w:eastAsia="Times New Roman"/>
          <w:sz w:val="22"/>
          <w:szCs w:val="22"/>
          <w:lang w:eastAsia="en-GB"/>
        </w:rPr>
        <w:t xml:space="preserve"> material factors that (de)</w:t>
      </w:r>
      <w:proofErr w:type="spellStart"/>
      <w:r w:rsidRPr="008820ED">
        <w:rPr>
          <w:rFonts w:eastAsia="Times New Roman"/>
          <w:sz w:val="22"/>
          <w:szCs w:val="22"/>
          <w:lang w:eastAsia="en-GB"/>
        </w:rPr>
        <w:t>stabilise</w:t>
      </w:r>
      <w:proofErr w:type="spellEnd"/>
      <w:r w:rsidRPr="008820ED">
        <w:rPr>
          <w:rFonts w:eastAsia="Times New Roman"/>
          <w:sz w:val="22"/>
          <w:szCs w:val="22"/>
          <w:lang w:eastAsia="en-GB"/>
        </w:rPr>
        <w:t xml:space="preserve"> or (de)</w:t>
      </w:r>
      <w:proofErr w:type="spellStart"/>
      <w:r w:rsidRPr="008820ED">
        <w:rPr>
          <w:rFonts w:eastAsia="Times New Roman"/>
          <w:sz w:val="22"/>
          <w:szCs w:val="22"/>
          <w:lang w:eastAsia="en-GB"/>
        </w:rPr>
        <w:t>territorialise</w:t>
      </w:r>
      <w:proofErr w:type="spellEnd"/>
      <w:r w:rsidRPr="008820ED">
        <w:rPr>
          <w:rFonts w:eastAsia="Times New Roman"/>
          <w:sz w:val="22"/>
          <w:szCs w:val="22"/>
          <w:lang w:eastAsia="en-GB"/>
        </w:rPr>
        <w:t xml:space="preserve"> a sense of home because there is no ‘home’ without the ‘house’; </w:t>
      </w:r>
      <w:r w:rsidRPr="008820ED">
        <w:rPr>
          <w:sz w:val="22"/>
          <w:szCs w:val="22"/>
        </w:rPr>
        <w:t xml:space="preserve">its material content frames the experience of dwelling. Similarly, Hillier (2011) </w:t>
      </w:r>
      <w:r w:rsidRPr="008820ED">
        <w:rPr>
          <w:rFonts w:eastAsia="Times New Roman"/>
          <w:sz w:val="22"/>
          <w:szCs w:val="22"/>
          <w:lang w:eastAsia="en-GB"/>
        </w:rPr>
        <w:t xml:space="preserve">explores the material agency ascribed to non-human objects/structures by humans, but with a specific focus on what humans see as their potential, doing so through a </w:t>
      </w:r>
      <w:proofErr w:type="gramStart"/>
      <w:r w:rsidRPr="008820ED">
        <w:rPr>
          <w:rFonts w:eastAsia="Times New Roman"/>
          <w:sz w:val="22"/>
          <w:szCs w:val="22"/>
          <w:lang w:eastAsia="en-GB"/>
        </w:rPr>
        <w:t>large scale</w:t>
      </w:r>
      <w:proofErr w:type="gramEnd"/>
      <w:r w:rsidRPr="008820ED">
        <w:rPr>
          <w:rFonts w:eastAsia="Times New Roman"/>
          <w:sz w:val="22"/>
          <w:szCs w:val="22"/>
          <w:lang w:eastAsia="en-GB"/>
        </w:rPr>
        <w:t xml:space="preserve"> art installation. Drawing on these studies, this work expands the application of assemblage thinking, through its focus on retail real estate, and it is primarily concerned with the role of materials in the formation stage of place assemblages. In terms of the originality of the research, it is believed that nobody has yet used the emerging assemblage literature to form a better understanding of city </w:t>
      </w:r>
      <w:proofErr w:type="spellStart"/>
      <w:r w:rsidRPr="008820ED">
        <w:rPr>
          <w:rFonts w:eastAsia="Times New Roman"/>
          <w:sz w:val="22"/>
          <w:szCs w:val="22"/>
          <w:lang w:eastAsia="en-GB"/>
        </w:rPr>
        <w:t>centre</w:t>
      </w:r>
      <w:proofErr w:type="spellEnd"/>
      <w:r w:rsidRPr="008820ED">
        <w:rPr>
          <w:rFonts w:eastAsia="Times New Roman"/>
          <w:sz w:val="22"/>
          <w:szCs w:val="22"/>
          <w:lang w:eastAsia="en-GB"/>
        </w:rPr>
        <w:t xml:space="preserve"> retail/commercial environments. In this light, it is hoped our study offers a new direction for real estate/planning studies at a time of unprecedented urban concerns regarding retail survival and the repurposing of surplus retail space. </w:t>
      </w:r>
    </w:p>
    <w:p w14:paraId="0E2B0701" w14:textId="77777777" w:rsidR="008820ED" w:rsidRPr="008820ED" w:rsidRDefault="008820ED" w:rsidP="008820ED">
      <w:pPr>
        <w:jc w:val="both"/>
        <w:rPr>
          <w:rFonts w:eastAsia="Times New Roman"/>
          <w:sz w:val="22"/>
          <w:szCs w:val="22"/>
          <w:lang w:eastAsia="en-GB"/>
        </w:rPr>
      </w:pPr>
    </w:p>
    <w:p w14:paraId="23B87A93" w14:textId="77777777" w:rsidR="008820ED" w:rsidRPr="008820ED" w:rsidRDefault="008820ED" w:rsidP="008820ED">
      <w:pPr>
        <w:jc w:val="both"/>
        <w:rPr>
          <w:bCs/>
          <w:sz w:val="22"/>
          <w:szCs w:val="22"/>
        </w:rPr>
      </w:pPr>
      <w:r w:rsidRPr="008820ED">
        <w:rPr>
          <w:rFonts w:eastAsia="Times New Roman"/>
          <w:sz w:val="22"/>
          <w:szCs w:val="22"/>
          <w:lang w:eastAsia="en-GB"/>
        </w:rPr>
        <w:t xml:space="preserve">To this end, the overall aim of the study is </w:t>
      </w:r>
      <w:r w:rsidRPr="008820ED">
        <w:rPr>
          <w:bCs/>
          <w:sz w:val="22"/>
          <w:szCs w:val="22"/>
        </w:rPr>
        <w:t xml:space="preserve">to </w:t>
      </w:r>
      <w:proofErr w:type="spellStart"/>
      <w:r w:rsidRPr="008820ED">
        <w:rPr>
          <w:bCs/>
          <w:sz w:val="22"/>
          <w:szCs w:val="22"/>
        </w:rPr>
        <w:t>utilise</w:t>
      </w:r>
      <w:proofErr w:type="spellEnd"/>
      <w:r w:rsidRPr="008820ED">
        <w:rPr>
          <w:bCs/>
          <w:sz w:val="22"/>
          <w:szCs w:val="22"/>
        </w:rPr>
        <w:t xml:space="preserve"> an assemblage approach to generate a better understanding of the making of resilient and adaptive city </w:t>
      </w:r>
      <w:proofErr w:type="spellStart"/>
      <w:r w:rsidRPr="008820ED">
        <w:rPr>
          <w:bCs/>
          <w:sz w:val="22"/>
          <w:szCs w:val="22"/>
        </w:rPr>
        <w:t>centre</w:t>
      </w:r>
      <w:proofErr w:type="spellEnd"/>
      <w:r w:rsidRPr="008820ED">
        <w:rPr>
          <w:bCs/>
          <w:sz w:val="22"/>
          <w:szCs w:val="22"/>
        </w:rPr>
        <w:t xml:space="preserve"> spaces, with a specific focus on the ways key actors interact with the built fabric/material characteristics of city </w:t>
      </w:r>
      <w:proofErr w:type="spellStart"/>
      <w:r w:rsidRPr="008820ED">
        <w:rPr>
          <w:bCs/>
          <w:sz w:val="22"/>
          <w:szCs w:val="22"/>
        </w:rPr>
        <w:t>centre</w:t>
      </w:r>
      <w:proofErr w:type="spellEnd"/>
      <w:r w:rsidRPr="008820ED">
        <w:rPr>
          <w:bCs/>
          <w:sz w:val="22"/>
          <w:szCs w:val="22"/>
        </w:rPr>
        <w:t xml:space="preserve"> real estate to meet the challenges of repurposing existing floorspace, particularly redundant retail floorspace.</w:t>
      </w:r>
    </w:p>
    <w:p w14:paraId="77430F46" w14:textId="77777777" w:rsidR="008820ED" w:rsidRPr="008820ED" w:rsidRDefault="008820ED" w:rsidP="008820ED">
      <w:pPr>
        <w:jc w:val="both"/>
        <w:rPr>
          <w:bCs/>
          <w:sz w:val="22"/>
          <w:szCs w:val="22"/>
        </w:rPr>
      </w:pPr>
    </w:p>
    <w:p w14:paraId="62ADE145" w14:textId="77777777" w:rsidR="008820ED" w:rsidRPr="008820ED" w:rsidRDefault="008820ED" w:rsidP="008820ED">
      <w:pPr>
        <w:jc w:val="both"/>
        <w:rPr>
          <w:sz w:val="22"/>
          <w:szCs w:val="22"/>
        </w:rPr>
      </w:pPr>
      <w:proofErr w:type="gramStart"/>
      <w:r w:rsidRPr="008820ED">
        <w:rPr>
          <w:sz w:val="22"/>
          <w:szCs w:val="22"/>
        </w:rPr>
        <w:t>In order to</w:t>
      </w:r>
      <w:proofErr w:type="gramEnd"/>
      <w:r w:rsidRPr="008820ED">
        <w:rPr>
          <w:sz w:val="22"/>
          <w:szCs w:val="22"/>
        </w:rPr>
        <w:t xml:space="preserve"> achieve this aim, the objectives are:</w:t>
      </w:r>
    </w:p>
    <w:p w14:paraId="43A8032F" w14:textId="77777777" w:rsidR="008820ED" w:rsidRPr="008820ED" w:rsidRDefault="008820ED" w:rsidP="008820ED">
      <w:pPr>
        <w:pStyle w:val="ListParagraph"/>
        <w:numPr>
          <w:ilvl w:val="0"/>
          <w:numId w:val="6"/>
        </w:numPr>
        <w:spacing w:after="0" w:line="240" w:lineRule="auto"/>
        <w:jc w:val="both"/>
        <w:rPr>
          <w:rFonts w:ascii="Times New Roman" w:hAnsi="Times New Roman"/>
        </w:rPr>
      </w:pPr>
      <w:r w:rsidRPr="008820ED">
        <w:rPr>
          <w:rFonts w:ascii="Times New Roman" w:hAnsi="Times New Roman"/>
        </w:rPr>
        <w:t xml:space="preserve">To utilise an assemblage theoretical framework for considering the repurposing of redundant city centre </w:t>
      </w:r>
      <w:proofErr w:type="gramStart"/>
      <w:r w:rsidRPr="008820ED">
        <w:rPr>
          <w:rFonts w:ascii="Times New Roman" w:hAnsi="Times New Roman"/>
        </w:rPr>
        <w:t>space;</w:t>
      </w:r>
      <w:proofErr w:type="gramEnd"/>
    </w:p>
    <w:p w14:paraId="1F8F0A3A" w14:textId="77777777" w:rsidR="008820ED" w:rsidRPr="008820ED" w:rsidRDefault="008820ED" w:rsidP="008820ED">
      <w:pPr>
        <w:pStyle w:val="ListParagraph"/>
        <w:numPr>
          <w:ilvl w:val="0"/>
          <w:numId w:val="6"/>
        </w:numPr>
        <w:spacing w:after="0" w:line="240" w:lineRule="auto"/>
        <w:jc w:val="both"/>
        <w:rPr>
          <w:rFonts w:ascii="Times New Roman" w:hAnsi="Times New Roman"/>
        </w:rPr>
      </w:pPr>
      <w:r w:rsidRPr="008820ED">
        <w:rPr>
          <w:rFonts w:ascii="Times New Roman" w:hAnsi="Times New Roman"/>
        </w:rPr>
        <w:t xml:space="preserve">To elicit the views of key actors/stakeholders on the ways repurposing schemes are shaped by building-related factors, with a focus on the pre-existing properties (structural characteristics, </w:t>
      </w:r>
      <w:proofErr w:type="gramStart"/>
      <w:r w:rsidRPr="008820ED">
        <w:rPr>
          <w:rFonts w:ascii="Times New Roman" w:hAnsi="Times New Roman"/>
        </w:rPr>
        <w:t>materials</w:t>
      </w:r>
      <w:proofErr w:type="gramEnd"/>
      <w:r w:rsidRPr="008820ED">
        <w:rPr>
          <w:rFonts w:ascii="Times New Roman" w:hAnsi="Times New Roman"/>
        </w:rPr>
        <w:t xml:space="preserve"> and visual appearance) of the site itself and the surrounding area, and the subsequent potential seen in the site; and</w:t>
      </w:r>
    </w:p>
    <w:p w14:paraId="4D8818FA" w14:textId="77777777" w:rsidR="008820ED" w:rsidRPr="008820ED" w:rsidRDefault="008820ED" w:rsidP="008820ED">
      <w:pPr>
        <w:pStyle w:val="ListParagraph"/>
        <w:numPr>
          <w:ilvl w:val="0"/>
          <w:numId w:val="6"/>
        </w:numPr>
        <w:spacing w:after="0" w:line="240" w:lineRule="auto"/>
        <w:jc w:val="both"/>
        <w:rPr>
          <w:rFonts w:ascii="Times New Roman" w:hAnsi="Times New Roman"/>
        </w:rPr>
      </w:pPr>
      <w:r w:rsidRPr="008820ED">
        <w:rPr>
          <w:rFonts w:ascii="Times New Roman" w:hAnsi="Times New Roman"/>
        </w:rPr>
        <w:t>To draw out key innovations in real estate practice, planning practice and built form, to generate a better understanding of the making of resilient and adaptive city centre spaces.</w:t>
      </w:r>
    </w:p>
    <w:p w14:paraId="79331AB7" w14:textId="77777777" w:rsidR="008820ED" w:rsidRPr="008820ED" w:rsidRDefault="008820ED" w:rsidP="008820ED">
      <w:pPr>
        <w:pStyle w:val="NoSpacing"/>
        <w:jc w:val="both"/>
        <w:rPr>
          <w:rFonts w:ascii="Times New Roman" w:hAnsi="Times New Roman" w:cs="Times New Roman"/>
        </w:rPr>
      </w:pPr>
    </w:p>
    <w:p w14:paraId="3894CDE6" w14:textId="77777777" w:rsidR="008820ED" w:rsidRPr="008820ED" w:rsidRDefault="008820ED" w:rsidP="008820ED">
      <w:pPr>
        <w:pStyle w:val="NoSpacing"/>
        <w:jc w:val="both"/>
        <w:rPr>
          <w:rFonts w:ascii="Times New Roman" w:hAnsi="Times New Roman" w:cs="Times New Roman"/>
          <w:bCs/>
          <w:iCs/>
          <w:u w:val="single"/>
        </w:rPr>
      </w:pPr>
      <w:bookmarkStart w:id="11" w:name="_Hlk66275933"/>
      <w:r w:rsidRPr="008820ED">
        <w:rPr>
          <w:rFonts w:ascii="Times New Roman" w:hAnsi="Times New Roman" w:cs="Times New Roman"/>
        </w:rPr>
        <w:t xml:space="preserve">Our study critically examines city centre transformations, conceptualised using an assemblage framework. </w:t>
      </w:r>
      <w:bookmarkEnd w:id="11"/>
      <w:r w:rsidRPr="008820ED">
        <w:rPr>
          <w:rFonts w:ascii="Times New Roman" w:hAnsi="Times New Roman" w:cs="Times New Roman"/>
        </w:rPr>
        <w:t xml:space="preserve">The concept of assemblages was initially developed by Gilles Deleuze and Felix </w:t>
      </w:r>
      <w:proofErr w:type="spellStart"/>
      <w:r w:rsidRPr="008820ED">
        <w:rPr>
          <w:rFonts w:ascii="Times New Roman" w:hAnsi="Times New Roman" w:cs="Times New Roman"/>
        </w:rPr>
        <w:t>Guattari</w:t>
      </w:r>
      <w:proofErr w:type="spellEnd"/>
      <w:r w:rsidRPr="008820ED">
        <w:rPr>
          <w:rFonts w:ascii="Times New Roman" w:hAnsi="Times New Roman" w:cs="Times New Roman"/>
        </w:rPr>
        <w:t xml:space="preserve">. </w:t>
      </w:r>
      <w:r w:rsidRPr="008820ED">
        <w:rPr>
          <w:rFonts w:ascii="Times New Roman" w:hAnsi="Times New Roman" w:cs="Times New Roman"/>
          <w:i/>
          <w:iCs/>
        </w:rPr>
        <w:t>A Thousand Plateaus</w:t>
      </w:r>
      <w:r w:rsidRPr="008820ED">
        <w:rPr>
          <w:rFonts w:ascii="Times New Roman" w:hAnsi="Times New Roman" w:cs="Times New Roman"/>
        </w:rPr>
        <w:t xml:space="preserve"> (1980), translated to English in 1987, was the key text in their theory of assemblages. It was later elaborated upon by assemblage theorists, including Manuel </w:t>
      </w:r>
      <w:proofErr w:type="spellStart"/>
      <w:r w:rsidRPr="008820ED">
        <w:rPr>
          <w:rFonts w:ascii="Times New Roman" w:hAnsi="Times New Roman" w:cs="Times New Roman"/>
        </w:rPr>
        <w:t>DeLanda</w:t>
      </w:r>
      <w:proofErr w:type="spellEnd"/>
      <w:r w:rsidRPr="008820ED">
        <w:rPr>
          <w:rFonts w:ascii="Times New Roman" w:hAnsi="Times New Roman" w:cs="Times New Roman"/>
        </w:rPr>
        <w:t xml:space="preserve">. </w:t>
      </w:r>
      <w:proofErr w:type="spellStart"/>
      <w:r w:rsidRPr="008820ED">
        <w:rPr>
          <w:rFonts w:ascii="Times New Roman" w:hAnsi="Times New Roman" w:cs="Times New Roman"/>
        </w:rPr>
        <w:t>DeLanda</w:t>
      </w:r>
      <w:proofErr w:type="spellEnd"/>
      <w:r w:rsidRPr="008820ED">
        <w:rPr>
          <w:rFonts w:ascii="Times New Roman" w:hAnsi="Times New Roman" w:cs="Times New Roman"/>
        </w:rPr>
        <w:t xml:space="preserve"> sought to make the concept more teachable, especially in his 2016 book </w:t>
      </w:r>
      <w:r w:rsidRPr="008820ED">
        <w:rPr>
          <w:rFonts w:ascii="Times New Roman" w:hAnsi="Times New Roman" w:cs="Times New Roman"/>
          <w:i/>
          <w:iCs/>
        </w:rPr>
        <w:t>Assemblage Theory</w:t>
      </w:r>
      <w:r w:rsidRPr="008820ED">
        <w:rPr>
          <w:rFonts w:ascii="Times New Roman" w:hAnsi="Times New Roman" w:cs="Times New Roman"/>
        </w:rPr>
        <w:t>. It has been applied to a wide variety of research topics, including urban places, whereby assemblage theory’s strength lies in its ‘very manipulability’ (</w:t>
      </w:r>
      <w:r w:rsidRPr="008820ED">
        <w:rPr>
          <w:rFonts w:ascii="Times New Roman" w:hAnsi="Times New Roman" w:cs="Times New Roman"/>
          <w:bCs/>
        </w:rPr>
        <w:t>Anderson and MacFarlane, 2011, no page</w:t>
      </w:r>
      <w:r w:rsidRPr="008820ED">
        <w:rPr>
          <w:rFonts w:ascii="Times New Roman" w:hAnsi="Times New Roman" w:cs="Times New Roman"/>
        </w:rPr>
        <w:t xml:space="preserve">) and its ‘chameleon-like’ qualities (Savage, 2018, p.332). However, this comes at a cost: there is </w:t>
      </w:r>
      <w:bookmarkStart w:id="12" w:name="_Hlk66291047"/>
      <w:r w:rsidRPr="008820ED">
        <w:rPr>
          <w:rFonts w:ascii="Times New Roman" w:hAnsi="Times New Roman" w:cs="Times New Roman"/>
        </w:rPr>
        <w:t xml:space="preserve">a risk of assemblage “slipping into a conceptual labyrinth” </w:t>
      </w:r>
      <w:bookmarkEnd w:id="12"/>
      <w:r w:rsidRPr="008820ED">
        <w:rPr>
          <w:rFonts w:ascii="Times New Roman" w:hAnsi="Times New Roman" w:cs="Times New Roman"/>
        </w:rPr>
        <w:t xml:space="preserve">(Savage, 2018, p.332). In response, to avoid such a labyrinth, our study is structured around a clear theoretical framework that, firstly, </w:t>
      </w:r>
      <w:bookmarkStart w:id="13" w:name="_Hlk66715078"/>
      <w:r w:rsidRPr="008820ED">
        <w:rPr>
          <w:rFonts w:ascii="Times New Roman" w:hAnsi="Times New Roman" w:cs="Times New Roman"/>
        </w:rPr>
        <w:t xml:space="preserve">identifies the three key properties of an assemblage (heteronomy, relationships of exteriority, and emergence) and, subsequently, summarising </w:t>
      </w:r>
      <w:bookmarkStart w:id="14" w:name="_Hlk66088919"/>
      <w:r w:rsidRPr="008820ED">
        <w:rPr>
          <w:rFonts w:ascii="Times New Roman" w:hAnsi="Times New Roman" w:cs="Times New Roman"/>
        </w:rPr>
        <w:t>those concepts and themes that are most relevant to our study</w:t>
      </w:r>
      <w:bookmarkEnd w:id="14"/>
      <w:r w:rsidRPr="008820ED">
        <w:rPr>
          <w:rFonts w:ascii="Times New Roman" w:hAnsi="Times New Roman" w:cs="Times New Roman"/>
        </w:rPr>
        <w:t xml:space="preserve"> The motivation of this approach is to seek to make the empirical findings understandable and accessible.</w:t>
      </w:r>
    </w:p>
    <w:bookmarkEnd w:id="13"/>
    <w:p w14:paraId="3FABCE4A" w14:textId="77777777" w:rsidR="008820ED" w:rsidRPr="008820ED" w:rsidRDefault="008820ED" w:rsidP="008820ED">
      <w:pPr>
        <w:pStyle w:val="NoSpacing"/>
        <w:rPr>
          <w:rFonts w:ascii="Times New Roman" w:hAnsi="Times New Roman" w:cs="Times New Roman"/>
          <w:color w:val="0000FF"/>
        </w:rPr>
      </w:pPr>
    </w:p>
    <w:p w14:paraId="3D15CFA4" w14:textId="77777777" w:rsidR="008820ED" w:rsidRPr="008820ED" w:rsidRDefault="008820ED" w:rsidP="008820ED">
      <w:pPr>
        <w:pStyle w:val="NoSpacing"/>
        <w:spacing w:after="120"/>
        <w:rPr>
          <w:rFonts w:ascii="Times New Roman" w:hAnsi="Times New Roman" w:cs="Times New Roman"/>
          <w:b/>
        </w:rPr>
      </w:pPr>
      <w:r w:rsidRPr="008820ED">
        <w:rPr>
          <w:rFonts w:ascii="Times New Roman" w:hAnsi="Times New Roman" w:cs="Times New Roman"/>
          <w:b/>
        </w:rPr>
        <w:t>2. Assemblage Theory</w:t>
      </w:r>
    </w:p>
    <w:p w14:paraId="08CB897E" w14:textId="77777777" w:rsidR="008820ED" w:rsidRPr="008820ED" w:rsidRDefault="008820ED" w:rsidP="008820ED">
      <w:pPr>
        <w:pStyle w:val="NoSpacing"/>
        <w:jc w:val="both"/>
        <w:rPr>
          <w:rFonts w:ascii="Times New Roman" w:hAnsi="Times New Roman" w:cs="Times New Roman"/>
        </w:rPr>
      </w:pPr>
      <w:r w:rsidRPr="008820ED">
        <w:rPr>
          <w:rFonts w:ascii="Times New Roman" w:hAnsi="Times New Roman" w:cs="Times New Roman"/>
        </w:rPr>
        <w:t xml:space="preserve">In philosophical usage, ‘assemblage’ is not the taken-for-granted dictionary definition. Rather, there are three key properties which separate an assemblage from other terms such as an arrangement, </w:t>
      </w:r>
      <w:proofErr w:type="gramStart"/>
      <w:r w:rsidRPr="008820ED">
        <w:rPr>
          <w:rFonts w:ascii="Times New Roman" w:hAnsi="Times New Roman" w:cs="Times New Roman"/>
        </w:rPr>
        <w:t>composition</w:t>
      </w:r>
      <w:proofErr w:type="gramEnd"/>
      <w:r w:rsidRPr="008820ED">
        <w:rPr>
          <w:rFonts w:ascii="Times New Roman" w:hAnsi="Times New Roman" w:cs="Times New Roman"/>
        </w:rPr>
        <w:t xml:space="preserve"> or ensemble. These are the closely related properties of heteronomy, relationships of exteriority and emergence.</w:t>
      </w:r>
    </w:p>
    <w:p w14:paraId="0366621F" w14:textId="77777777" w:rsidR="008820ED" w:rsidRPr="008820ED" w:rsidRDefault="008820ED" w:rsidP="008820ED">
      <w:pPr>
        <w:pStyle w:val="NoSpacing"/>
        <w:jc w:val="both"/>
        <w:rPr>
          <w:rFonts w:ascii="Times New Roman" w:hAnsi="Times New Roman" w:cs="Times New Roman"/>
        </w:rPr>
      </w:pPr>
    </w:p>
    <w:p w14:paraId="09CEED59" w14:textId="77777777" w:rsidR="008820ED" w:rsidRPr="008820ED" w:rsidRDefault="008820ED" w:rsidP="008820ED">
      <w:pPr>
        <w:pStyle w:val="NoSpacing"/>
        <w:jc w:val="both"/>
        <w:rPr>
          <w:rFonts w:ascii="Times New Roman" w:hAnsi="Times New Roman" w:cs="Times New Roman"/>
        </w:rPr>
      </w:pPr>
      <w:bookmarkStart w:id="15" w:name="_Hlk66351468"/>
      <w:r w:rsidRPr="008820ED">
        <w:rPr>
          <w:rFonts w:ascii="Times New Roman" w:hAnsi="Times New Roman" w:cs="Times New Roman"/>
          <w:i/>
          <w:iCs/>
        </w:rPr>
        <w:lastRenderedPageBreak/>
        <w:t>Heteronomy</w:t>
      </w:r>
      <w:r w:rsidRPr="008820ED">
        <w:rPr>
          <w:rFonts w:ascii="Times New Roman" w:hAnsi="Times New Roman" w:cs="Times New Roman"/>
        </w:rPr>
        <w:t xml:space="preserve"> is a key characteristic of an assemblage. The components of an assemblage form a heterogeneous mixture, meaning they are diverse in character of content and can be separated (</w:t>
      </w:r>
      <w:proofErr w:type="spellStart"/>
      <w:r w:rsidRPr="008820ED">
        <w:rPr>
          <w:rFonts w:ascii="Times New Roman" w:hAnsi="Times New Roman" w:cs="Times New Roman"/>
        </w:rPr>
        <w:t>DeLanda</w:t>
      </w:r>
      <w:proofErr w:type="spellEnd"/>
      <w:r w:rsidRPr="008820ED">
        <w:rPr>
          <w:rFonts w:ascii="Times New Roman" w:hAnsi="Times New Roman" w:cs="Times New Roman"/>
        </w:rPr>
        <w:t>, 2016). Coke with ice is an example of a heterogeneous mixture because its elements can be seen and separated, whereas the components of a gin and tonic are fused into a seamless whole in which their individuality is lost.</w:t>
      </w:r>
    </w:p>
    <w:p w14:paraId="627417A4" w14:textId="77777777" w:rsidR="008820ED" w:rsidRPr="008820ED" w:rsidRDefault="008820ED" w:rsidP="008820ED">
      <w:pPr>
        <w:pStyle w:val="NoSpacing"/>
        <w:jc w:val="both"/>
        <w:rPr>
          <w:rFonts w:ascii="Times New Roman" w:hAnsi="Times New Roman" w:cs="Times New Roman"/>
        </w:rPr>
      </w:pPr>
    </w:p>
    <w:p w14:paraId="1ABBE425" w14:textId="77777777" w:rsidR="008820ED" w:rsidRPr="008820ED" w:rsidRDefault="008820ED" w:rsidP="008820ED">
      <w:pPr>
        <w:pStyle w:val="NoSpacing"/>
        <w:jc w:val="both"/>
        <w:rPr>
          <w:rFonts w:ascii="Times New Roman" w:hAnsi="Times New Roman" w:cs="Times New Roman"/>
        </w:rPr>
      </w:pPr>
      <w:bookmarkStart w:id="16" w:name="_Hlk66688947"/>
      <w:r w:rsidRPr="008820ED">
        <w:rPr>
          <w:rFonts w:ascii="Times New Roman" w:hAnsi="Times New Roman" w:cs="Times New Roman"/>
          <w:i/>
          <w:iCs/>
        </w:rPr>
        <w:t>Relationships of exteriority</w:t>
      </w:r>
      <w:bookmarkEnd w:id="16"/>
      <w:r w:rsidRPr="008820ED">
        <w:rPr>
          <w:rFonts w:ascii="Times New Roman" w:hAnsi="Times New Roman" w:cs="Times New Roman"/>
        </w:rPr>
        <w:t xml:space="preserve"> is a second characteristic of an assemblage (see </w:t>
      </w:r>
      <w:proofErr w:type="spellStart"/>
      <w:r w:rsidRPr="008820ED">
        <w:rPr>
          <w:rFonts w:ascii="Times New Roman" w:hAnsi="Times New Roman" w:cs="Times New Roman"/>
        </w:rPr>
        <w:t>DeLanda</w:t>
      </w:r>
      <w:proofErr w:type="spellEnd"/>
      <w:r w:rsidRPr="008820ED">
        <w:rPr>
          <w:rFonts w:ascii="Times New Roman" w:hAnsi="Times New Roman" w:cs="Times New Roman"/>
        </w:rPr>
        <w:t>, 2016), which means that assemblage components retain their autonomy outside of the assemblage in which they exist. They do not fuse into a seamless totality and lose their identity, as happens where component parts are characterised by ‘relationships of interiority’ (</w:t>
      </w:r>
      <w:proofErr w:type="spellStart"/>
      <w:r w:rsidRPr="008820ED">
        <w:rPr>
          <w:rFonts w:ascii="Times New Roman" w:hAnsi="Times New Roman" w:cs="Times New Roman"/>
        </w:rPr>
        <w:t>DeLanda</w:t>
      </w:r>
      <w:proofErr w:type="spellEnd"/>
      <w:r w:rsidRPr="008820ED">
        <w:rPr>
          <w:rFonts w:ascii="Times New Roman" w:hAnsi="Times New Roman" w:cs="Times New Roman"/>
        </w:rPr>
        <w:t xml:space="preserve">, 2017) </w:t>
      </w:r>
      <w:bookmarkStart w:id="17" w:name="_Hlk66045242"/>
      <w:r w:rsidRPr="008820ED">
        <w:rPr>
          <w:rFonts w:ascii="Times New Roman" w:hAnsi="Times New Roman" w:cs="Times New Roman"/>
        </w:rPr>
        <w:t xml:space="preserve">(note that ‘exteriority’ and ‘interiority’ are not spatial terms, in this context). Given assemblages are composed of relationships of exteriority, </w:t>
      </w:r>
      <w:bookmarkStart w:id="18" w:name="_Hlk66112998"/>
      <w:r w:rsidRPr="008820ED">
        <w:rPr>
          <w:rFonts w:ascii="Times New Roman" w:hAnsi="Times New Roman" w:cs="Times New Roman"/>
        </w:rPr>
        <w:t xml:space="preserve">this means its components can be unplugged and then plugged into a different assemblage </w:t>
      </w:r>
      <w:bookmarkEnd w:id="18"/>
      <w:r w:rsidRPr="008820ED">
        <w:rPr>
          <w:rFonts w:ascii="Times New Roman" w:hAnsi="Times New Roman" w:cs="Times New Roman"/>
        </w:rPr>
        <w:t xml:space="preserve">(McFarlane, 2011; </w:t>
      </w:r>
      <w:proofErr w:type="spellStart"/>
      <w:r w:rsidRPr="008820ED">
        <w:rPr>
          <w:rFonts w:ascii="Times New Roman" w:hAnsi="Times New Roman" w:cs="Times New Roman"/>
        </w:rPr>
        <w:t>DeLanda</w:t>
      </w:r>
      <w:proofErr w:type="spellEnd"/>
      <w:r w:rsidRPr="008820ED">
        <w:rPr>
          <w:rFonts w:ascii="Times New Roman" w:hAnsi="Times New Roman" w:cs="Times New Roman"/>
        </w:rPr>
        <w:t xml:space="preserve">, 2016). </w:t>
      </w:r>
      <w:bookmarkEnd w:id="17"/>
      <w:r w:rsidRPr="008820ED">
        <w:rPr>
          <w:rFonts w:ascii="Times New Roman" w:hAnsi="Times New Roman" w:cs="Times New Roman"/>
        </w:rPr>
        <w:t xml:space="preserve">This also contrasts with situations where a component part only makes sense within a whole (a bicycle, for example). Moreover, a component can be part of more than one assemblage at the same time, while assemblages can also be ‘nested’, for example a single property can be nested within a city centre, although it is important to that, in terms of power relations, nesting is not hierarchical in any way. </w:t>
      </w:r>
    </w:p>
    <w:bookmarkEnd w:id="15"/>
    <w:p w14:paraId="352C12B1" w14:textId="77777777" w:rsidR="008820ED" w:rsidRPr="008820ED" w:rsidRDefault="008820ED" w:rsidP="008820ED">
      <w:pPr>
        <w:pStyle w:val="NoSpacing"/>
        <w:rPr>
          <w:rFonts w:ascii="Times New Roman" w:hAnsi="Times New Roman" w:cs="Times New Roman"/>
        </w:rPr>
      </w:pPr>
    </w:p>
    <w:p w14:paraId="76D5F36E" w14:textId="77777777" w:rsidR="008820ED" w:rsidRPr="008820ED" w:rsidRDefault="008820ED" w:rsidP="008820ED">
      <w:pPr>
        <w:pStyle w:val="NoSpacing"/>
        <w:jc w:val="both"/>
        <w:rPr>
          <w:rFonts w:ascii="Times New Roman" w:hAnsi="Times New Roman" w:cs="Times New Roman"/>
          <w:b/>
          <w:bCs/>
          <w:color w:val="FF0000"/>
        </w:rPr>
      </w:pPr>
      <w:bookmarkStart w:id="19" w:name="_Hlk66688969"/>
      <w:bookmarkStart w:id="20" w:name="_Hlk66453123"/>
      <w:bookmarkStart w:id="21" w:name="_Hlk66352654"/>
      <w:r w:rsidRPr="008820ED">
        <w:rPr>
          <w:rFonts w:ascii="Times New Roman" w:hAnsi="Times New Roman" w:cs="Times New Roman"/>
          <w:i/>
          <w:iCs/>
        </w:rPr>
        <w:t>Emergent properties</w:t>
      </w:r>
      <w:r w:rsidRPr="008820ED">
        <w:rPr>
          <w:rFonts w:ascii="Times New Roman" w:hAnsi="Times New Roman" w:cs="Times New Roman"/>
        </w:rPr>
        <w:t xml:space="preserve"> </w:t>
      </w:r>
      <w:bookmarkEnd w:id="19"/>
      <w:r w:rsidRPr="008820ED">
        <w:rPr>
          <w:rFonts w:ascii="Times New Roman" w:hAnsi="Times New Roman" w:cs="Times New Roman"/>
        </w:rPr>
        <w:t xml:space="preserve">is the third key property of an assemblage where, more than co-functioning, ‘emergent properties’ do not exist within an individual </w:t>
      </w:r>
      <w:proofErr w:type="gramStart"/>
      <w:r w:rsidRPr="008820ED">
        <w:rPr>
          <w:rFonts w:ascii="Times New Roman" w:hAnsi="Times New Roman" w:cs="Times New Roman"/>
        </w:rPr>
        <w:t>component, but</w:t>
      </w:r>
      <w:proofErr w:type="gramEnd"/>
      <w:r w:rsidRPr="008820ED">
        <w:rPr>
          <w:rFonts w:ascii="Times New Roman" w:hAnsi="Times New Roman" w:cs="Times New Roman"/>
        </w:rPr>
        <w:t xml:space="preserve"> are instead produced by various components working together. (Thinking about chemistry and the reactions caused by mixing chemicals helps conceptualise emergent properties.) Indeed, the word ‘assemblage’ is an attempt to translate the original French word ‘</w:t>
      </w:r>
      <w:proofErr w:type="spellStart"/>
      <w:r w:rsidRPr="008820ED">
        <w:rPr>
          <w:rFonts w:ascii="Times New Roman" w:hAnsi="Times New Roman" w:cs="Times New Roman"/>
        </w:rPr>
        <w:t>agencement</w:t>
      </w:r>
      <w:proofErr w:type="spellEnd"/>
      <w:r w:rsidRPr="008820ED">
        <w:rPr>
          <w:rFonts w:ascii="Times New Roman" w:hAnsi="Times New Roman" w:cs="Times New Roman"/>
        </w:rPr>
        <w:t>’ and refers to both the action of fitting together a set of components and the result of such an action (</w:t>
      </w:r>
      <w:proofErr w:type="spellStart"/>
      <w:r w:rsidRPr="008820ED">
        <w:rPr>
          <w:rFonts w:ascii="Times New Roman" w:hAnsi="Times New Roman" w:cs="Times New Roman"/>
        </w:rPr>
        <w:t>DeLanda</w:t>
      </w:r>
      <w:proofErr w:type="spellEnd"/>
      <w:r w:rsidRPr="008820ED">
        <w:rPr>
          <w:rFonts w:ascii="Times New Roman" w:hAnsi="Times New Roman" w:cs="Times New Roman"/>
        </w:rPr>
        <w:t xml:space="preserve">, 2016; </w:t>
      </w:r>
      <w:proofErr w:type="spellStart"/>
      <w:r w:rsidRPr="008820ED">
        <w:rPr>
          <w:rFonts w:ascii="Times New Roman" w:hAnsi="Times New Roman" w:cs="Times New Roman"/>
        </w:rPr>
        <w:t>Rutzou</w:t>
      </w:r>
      <w:proofErr w:type="spellEnd"/>
      <w:r w:rsidRPr="008820ED">
        <w:rPr>
          <w:rFonts w:ascii="Times New Roman" w:hAnsi="Times New Roman" w:cs="Times New Roman"/>
        </w:rPr>
        <w:t xml:space="preserve"> and Elder-Vass, 2019). In this way, </w:t>
      </w:r>
      <w:proofErr w:type="spellStart"/>
      <w:r w:rsidRPr="008820ED">
        <w:rPr>
          <w:rFonts w:ascii="Times New Roman" w:hAnsi="Times New Roman" w:cs="Times New Roman"/>
        </w:rPr>
        <w:t>agencement</w:t>
      </w:r>
      <w:proofErr w:type="spellEnd"/>
      <w:r w:rsidRPr="008820ED">
        <w:rPr>
          <w:rFonts w:ascii="Times New Roman" w:hAnsi="Times New Roman" w:cs="Times New Roman"/>
        </w:rPr>
        <w:t xml:space="preserve"> can be conceptualised as a generated strategic agency, and implies an agency and immanence which the word ‘assemblage’ does not (Hillier and Abrahams, 2013). In this vein, a</w:t>
      </w:r>
      <w:bookmarkEnd w:id="20"/>
      <w:r w:rsidRPr="008820ED">
        <w:rPr>
          <w:rFonts w:ascii="Times New Roman" w:hAnsi="Times New Roman" w:cs="Times New Roman"/>
        </w:rPr>
        <w:t xml:space="preserve">n assemblage </w:t>
      </w:r>
      <w:proofErr w:type="gramStart"/>
      <w:r w:rsidRPr="008820ED">
        <w:rPr>
          <w:rFonts w:ascii="Times New Roman" w:hAnsi="Times New Roman" w:cs="Times New Roman"/>
        </w:rPr>
        <w:t>as a whole that</w:t>
      </w:r>
      <w:proofErr w:type="gramEnd"/>
      <w:r w:rsidRPr="008820ED">
        <w:rPr>
          <w:rFonts w:ascii="Times New Roman" w:hAnsi="Times New Roman" w:cs="Times New Roman"/>
        </w:rPr>
        <w:t xml:space="preserve"> has properties that are not present in the component parts</w:t>
      </w:r>
      <w:r w:rsidRPr="008820ED">
        <w:rPr>
          <w:rFonts w:ascii="Times New Roman" w:hAnsi="Times New Roman" w:cs="Times New Roman"/>
          <w:bCs/>
        </w:rPr>
        <w:t>.</w:t>
      </w:r>
    </w:p>
    <w:p w14:paraId="08E8A8B8" w14:textId="77777777" w:rsidR="008820ED" w:rsidRPr="008820ED" w:rsidRDefault="008820ED" w:rsidP="008820ED">
      <w:pPr>
        <w:pStyle w:val="NoSpacing"/>
        <w:rPr>
          <w:rFonts w:ascii="Times New Roman" w:hAnsi="Times New Roman" w:cs="Times New Roman"/>
          <w:color w:val="0000FF"/>
        </w:rPr>
      </w:pPr>
    </w:p>
    <w:bookmarkEnd w:id="21"/>
    <w:p w14:paraId="609D41BB" w14:textId="77777777" w:rsidR="008820ED" w:rsidRPr="008820ED" w:rsidRDefault="008820ED" w:rsidP="008820ED">
      <w:pPr>
        <w:pStyle w:val="NoSpacing"/>
        <w:jc w:val="both"/>
        <w:rPr>
          <w:rFonts w:ascii="Times New Roman" w:hAnsi="Times New Roman" w:cs="Times New Roman"/>
        </w:rPr>
      </w:pPr>
      <w:r w:rsidRPr="008820ED">
        <w:rPr>
          <w:rFonts w:ascii="Times New Roman" w:hAnsi="Times New Roman" w:cs="Times New Roman"/>
        </w:rPr>
        <w:t>In exploring assemblage thinking, it needs highlighting that assemblage is arguably more of a standpoint than a neat theory. It is a “thinking framework” (</w:t>
      </w:r>
      <w:proofErr w:type="spellStart"/>
      <w:r w:rsidRPr="008820ED">
        <w:rPr>
          <w:rFonts w:ascii="Times New Roman" w:hAnsi="Times New Roman" w:cs="Times New Roman"/>
        </w:rPr>
        <w:t>Hooman</w:t>
      </w:r>
      <w:proofErr w:type="spellEnd"/>
      <w:r w:rsidRPr="008820ED">
        <w:rPr>
          <w:rFonts w:ascii="Times New Roman" w:hAnsi="Times New Roman" w:cs="Times New Roman"/>
        </w:rPr>
        <w:t xml:space="preserve"> &amp; McDonald 2019, p.179). </w:t>
      </w:r>
      <w:proofErr w:type="spellStart"/>
      <w:r w:rsidRPr="008820ED">
        <w:rPr>
          <w:rFonts w:ascii="Times New Roman" w:hAnsi="Times New Roman" w:cs="Times New Roman"/>
        </w:rPr>
        <w:t>Hondros</w:t>
      </w:r>
      <w:proofErr w:type="spellEnd"/>
      <w:r w:rsidRPr="008820ED">
        <w:rPr>
          <w:rFonts w:ascii="Times New Roman" w:hAnsi="Times New Roman" w:cs="Times New Roman"/>
        </w:rPr>
        <w:t xml:space="preserve"> </w:t>
      </w:r>
      <w:bookmarkStart w:id="22" w:name="_Hlk66207578"/>
      <w:r w:rsidRPr="008820ED">
        <w:rPr>
          <w:rFonts w:ascii="Times New Roman" w:hAnsi="Times New Roman" w:cs="Times New Roman"/>
          <w:bCs/>
        </w:rPr>
        <w:t xml:space="preserve">(2017) </w:t>
      </w:r>
      <w:bookmarkEnd w:id="22"/>
      <w:r w:rsidRPr="008820ED">
        <w:rPr>
          <w:rFonts w:ascii="Times New Roman" w:hAnsi="Times New Roman" w:cs="Times New Roman"/>
        </w:rPr>
        <w:t xml:space="preserve">emphasises that assemblage theory allows a theoretical space in which we can step back and ‘virtualise’ the world and think about what’s going on. In this vein, </w:t>
      </w:r>
      <w:bookmarkStart w:id="23" w:name="_Hlk66647347"/>
      <w:proofErr w:type="spellStart"/>
      <w:r w:rsidRPr="008820ED">
        <w:rPr>
          <w:rFonts w:ascii="Times New Roman" w:hAnsi="Times New Roman" w:cs="Times New Roman"/>
        </w:rPr>
        <w:t>DeLanda</w:t>
      </w:r>
      <w:proofErr w:type="spellEnd"/>
      <w:r w:rsidRPr="008820ED">
        <w:rPr>
          <w:rFonts w:ascii="Times New Roman" w:hAnsi="Times New Roman" w:cs="Times New Roman"/>
        </w:rPr>
        <w:t xml:space="preserve"> </w:t>
      </w:r>
      <w:bookmarkStart w:id="24" w:name="_Hlk66108205"/>
      <w:r w:rsidRPr="008820ED">
        <w:rPr>
          <w:rFonts w:ascii="Times New Roman" w:hAnsi="Times New Roman" w:cs="Times New Roman"/>
          <w:bCs/>
        </w:rPr>
        <w:t xml:space="preserve">(2017) </w:t>
      </w:r>
      <w:bookmarkEnd w:id="24"/>
      <w:r w:rsidRPr="008820ED">
        <w:rPr>
          <w:rFonts w:ascii="Times New Roman" w:hAnsi="Times New Roman" w:cs="Times New Roman"/>
        </w:rPr>
        <w:t xml:space="preserve">helpfully explains that, in assemblage thinking, the world (Earth) – as a theoretical space – can be envisaged as one huge continuum in which every future possibility lies, whereby an assemblage is formed as a progressive segmentation within that continuum. </w:t>
      </w:r>
      <w:bookmarkStart w:id="25" w:name="_Hlk66889030"/>
      <w:r w:rsidRPr="008820ED">
        <w:rPr>
          <w:rFonts w:ascii="Times New Roman" w:hAnsi="Times New Roman" w:cs="Times New Roman"/>
        </w:rPr>
        <w:t xml:space="preserve">Deleuze and </w:t>
      </w:r>
      <w:proofErr w:type="spellStart"/>
      <w:r w:rsidRPr="008820ED">
        <w:rPr>
          <w:rFonts w:ascii="Times New Roman" w:hAnsi="Times New Roman" w:cs="Times New Roman"/>
        </w:rPr>
        <w:t>Guattari</w:t>
      </w:r>
      <w:proofErr w:type="spellEnd"/>
      <w:r w:rsidRPr="008820ED">
        <w:rPr>
          <w:rFonts w:ascii="Times New Roman" w:hAnsi="Times New Roman" w:cs="Times New Roman"/>
        </w:rPr>
        <w:t xml:space="preserve"> refer to this continuum as the ‘plane of immanence’, and it includes both ‘the virtual’ (the pre-possible) and its actualization simultaneously (Hillier and Abrahams, 2013, p.39). </w:t>
      </w:r>
      <w:bookmarkEnd w:id="25"/>
      <w:r w:rsidRPr="008820ED">
        <w:rPr>
          <w:rFonts w:ascii="Times New Roman" w:hAnsi="Times New Roman" w:cs="Times New Roman"/>
        </w:rPr>
        <w:t>In terms of actualization, by ‘segmentation’ it is meant that within the overall ‘Earth-envisaged–as-one-huge-continuum’, a part becomes distinct through establishing boundaries.</w:t>
      </w:r>
      <w:bookmarkStart w:id="26" w:name="_Hlk66649514"/>
      <w:r w:rsidRPr="008820ED">
        <w:rPr>
          <w:rFonts w:ascii="Times New Roman" w:hAnsi="Times New Roman" w:cs="Times New Roman"/>
        </w:rPr>
        <w:t xml:space="preserve"> </w:t>
      </w:r>
      <w:bookmarkStart w:id="27" w:name="_Hlk66202038"/>
      <w:r w:rsidRPr="008820ED">
        <w:rPr>
          <w:rFonts w:ascii="Times New Roman" w:hAnsi="Times New Roman" w:cs="Times New Roman"/>
        </w:rPr>
        <w:t>It is through establishing boundaries that an assemblage</w:t>
      </w:r>
      <w:bookmarkStart w:id="28" w:name="_Hlk66114935"/>
      <w:r w:rsidRPr="008820ED">
        <w:rPr>
          <w:rFonts w:ascii="Times New Roman" w:hAnsi="Times New Roman" w:cs="Times New Roman"/>
        </w:rPr>
        <w:t xml:space="preserve"> ‘lays down its frame’ (Hillier, 2011, p.870) </w:t>
      </w:r>
      <w:bookmarkEnd w:id="26"/>
      <w:r w:rsidRPr="008820ED">
        <w:rPr>
          <w:rFonts w:ascii="Times New Roman" w:hAnsi="Times New Roman" w:cs="Times New Roman"/>
        </w:rPr>
        <w:t xml:space="preserve">or claims its territory </w:t>
      </w:r>
      <w:bookmarkEnd w:id="27"/>
      <w:r w:rsidRPr="008820ED">
        <w:rPr>
          <w:rFonts w:ascii="Times New Roman" w:hAnsi="Times New Roman" w:cs="Times New Roman"/>
        </w:rPr>
        <w:t xml:space="preserve">(‘territorialisation’ in assemblage language). </w:t>
      </w:r>
      <w:bookmarkEnd w:id="23"/>
      <w:bookmarkEnd w:id="28"/>
      <w:r w:rsidRPr="008820ED">
        <w:rPr>
          <w:rFonts w:ascii="Times New Roman" w:hAnsi="Times New Roman" w:cs="Times New Roman"/>
        </w:rPr>
        <w:t xml:space="preserve">Whereas our study deals with place assemblages which have physical boundaries, </w:t>
      </w:r>
      <w:bookmarkStart w:id="29" w:name="_Hlk66115014"/>
      <w:r w:rsidRPr="008820ED">
        <w:rPr>
          <w:rFonts w:ascii="Times New Roman" w:hAnsi="Times New Roman" w:cs="Times New Roman"/>
        </w:rPr>
        <w:t>a key point to make is that in assemblage thinking, the forming of boundaries is often non-spatial, because it relates to fixing the identity of an assemblage. What binds us to an identity is a function or role.</w:t>
      </w:r>
    </w:p>
    <w:p w14:paraId="0BEF8731" w14:textId="77777777" w:rsidR="008820ED" w:rsidRPr="008820ED" w:rsidRDefault="008820ED" w:rsidP="008820ED">
      <w:pPr>
        <w:pStyle w:val="NoSpacing"/>
        <w:jc w:val="both"/>
        <w:rPr>
          <w:rFonts w:ascii="Times New Roman" w:hAnsi="Times New Roman" w:cs="Times New Roman"/>
        </w:rPr>
      </w:pPr>
    </w:p>
    <w:p w14:paraId="7F22179F" w14:textId="77777777" w:rsidR="008820ED" w:rsidRPr="008820ED" w:rsidRDefault="008820ED" w:rsidP="008820ED">
      <w:pPr>
        <w:pStyle w:val="NoSpacing"/>
        <w:jc w:val="both"/>
        <w:rPr>
          <w:rFonts w:ascii="Times New Roman" w:hAnsi="Times New Roman" w:cs="Times New Roman"/>
        </w:rPr>
      </w:pPr>
      <w:r w:rsidRPr="008820ED">
        <w:rPr>
          <w:rFonts w:ascii="Times New Roman" w:hAnsi="Times New Roman" w:cs="Times New Roman"/>
        </w:rPr>
        <w:t xml:space="preserve">Moreover, given our study examines the repurposing of city centre retail space, Deleuze and </w:t>
      </w:r>
      <w:proofErr w:type="spellStart"/>
      <w:r w:rsidRPr="008820ED">
        <w:rPr>
          <w:rFonts w:ascii="Times New Roman" w:hAnsi="Times New Roman" w:cs="Times New Roman"/>
        </w:rPr>
        <w:t>Guattari’s</w:t>
      </w:r>
      <w:proofErr w:type="spellEnd"/>
      <w:r w:rsidRPr="008820ED">
        <w:rPr>
          <w:rFonts w:ascii="Times New Roman" w:hAnsi="Times New Roman" w:cs="Times New Roman"/>
        </w:rPr>
        <w:t xml:space="preserve"> concept of assemblage was of particular interest because it emphasizes both spatiality and temporality (Li, 2007). </w:t>
      </w:r>
      <w:bookmarkEnd w:id="29"/>
      <w:r w:rsidRPr="008820ED">
        <w:rPr>
          <w:rFonts w:ascii="Times New Roman" w:hAnsi="Times New Roman" w:cs="Times New Roman"/>
        </w:rPr>
        <w:t>Assemblage theory offers an understanding of place through its development, whereby territorialisation is about processes which stabilize the identity of an assemblage, but that identity is not permanently fixed (</w:t>
      </w:r>
      <w:proofErr w:type="spellStart"/>
      <w:r w:rsidRPr="008820ED">
        <w:rPr>
          <w:rFonts w:ascii="Times New Roman" w:hAnsi="Times New Roman" w:cs="Times New Roman"/>
        </w:rPr>
        <w:t>Muminovic</w:t>
      </w:r>
      <w:proofErr w:type="spellEnd"/>
      <w:r w:rsidRPr="008820ED">
        <w:rPr>
          <w:rFonts w:ascii="Times New Roman" w:hAnsi="Times New Roman" w:cs="Times New Roman"/>
        </w:rPr>
        <w:t xml:space="preserve">, 2015). Instead, it varies over time. Territorialisation processes relate to the various roles which individual component parts may play, from the purely material/functional to the purely symbolic, thus creating different mixtures for an assemblage and a different identity at different points in time (Deleuze &amp; </w:t>
      </w:r>
      <w:proofErr w:type="spellStart"/>
      <w:r w:rsidRPr="008820ED">
        <w:rPr>
          <w:rFonts w:ascii="Times New Roman" w:hAnsi="Times New Roman" w:cs="Times New Roman"/>
        </w:rPr>
        <w:t>Guattari</w:t>
      </w:r>
      <w:proofErr w:type="spellEnd"/>
      <w:r w:rsidRPr="008820ED">
        <w:rPr>
          <w:rFonts w:ascii="Times New Roman" w:hAnsi="Times New Roman" w:cs="Times New Roman"/>
        </w:rPr>
        <w:t xml:space="preserve">, 1987; Hillier, 2011; </w:t>
      </w:r>
      <w:proofErr w:type="spellStart"/>
      <w:r w:rsidRPr="008820ED">
        <w:rPr>
          <w:rFonts w:ascii="Times New Roman" w:hAnsi="Times New Roman" w:cs="Times New Roman"/>
        </w:rPr>
        <w:t>Muminovic</w:t>
      </w:r>
      <w:proofErr w:type="spellEnd"/>
      <w:r w:rsidRPr="008820ED">
        <w:rPr>
          <w:rFonts w:ascii="Times New Roman" w:hAnsi="Times New Roman" w:cs="Times New Roman"/>
        </w:rPr>
        <w:t xml:space="preserve">, 2015). </w:t>
      </w:r>
      <w:bookmarkStart w:id="30" w:name="_Hlk83646923"/>
      <w:r w:rsidRPr="008820ED">
        <w:rPr>
          <w:rFonts w:ascii="Times New Roman" w:hAnsi="Times New Roman" w:cs="Times New Roman"/>
        </w:rPr>
        <w:t xml:space="preserve">In assemblage language, material roles (material components composed of matter) are known as ‘content’ and symbolic roles are known as ‘expression’. </w:t>
      </w:r>
      <w:bookmarkStart w:id="31" w:name="_Hlk83648744"/>
      <w:r w:rsidRPr="008820ED">
        <w:rPr>
          <w:rFonts w:ascii="Times New Roman" w:hAnsi="Times New Roman" w:cs="Times New Roman"/>
        </w:rPr>
        <w:t xml:space="preserve">All assemblages are a mixture of different levels of material and expressive roles. For example, a building provides material content while its architectural style provides an expressive (symbolic) component </w:t>
      </w:r>
      <w:bookmarkEnd w:id="31"/>
      <w:r w:rsidRPr="008820ED">
        <w:rPr>
          <w:rFonts w:ascii="Times New Roman" w:hAnsi="Times New Roman" w:cs="Times New Roman"/>
        </w:rPr>
        <w:t>(</w:t>
      </w:r>
      <w:proofErr w:type="spellStart"/>
      <w:r w:rsidRPr="008820ED">
        <w:rPr>
          <w:rFonts w:ascii="Times New Roman" w:hAnsi="Times New Roman" w:cs="Times New Roman"/>
        </w:rPr>
        <w:t>DeLanda</w:t>
      </w:r>
      <w:proofErr w:type="spellEnd"/>
      <w:r w:rsidRPr="008820ED">
        <w:rPr>
          <w:rFonts w:ascii="Times New Roman" w:hAnsi="Times New Roman" w:cs="Times New Roman"/>
        </w:rPr>
        <w:t xml:space="preserve">, 2016). </w:t>
      </w:r>
      <w:bookmarkEnd w:id="30"/>
      <w:r w:rsidRPr="008820ED">
        <w:rPr>
          <w:rFonts w:ascii="Times New Roman" w:hAnsi="Times New Roman" w:cs="Times New Roman"/>
        </w:rPr>
        <w:t xml:space="preserve">Together they fix an overall identity. </w:t>
      </w:r>
      <w:bookmarkStart w:id="32" w:name="_Hlk66708317"/>
      <w:r w:rsidRPr="008820ED">
        <w:rPr>
          <w:rFonts w:ascii="Times New Roman" w:hAnsi="Times New Roman" w:cs="Times New Roman"/>
        </w:rPr>
        <w:t xml:space="preserve">Territorialisation creates meaning, as assemblages territorialize both material forms and forms of expression. </w:t>
      </w:r>
      <w:bookmarkEnd w:id="32"/>
    </w:p>
    <w:p w14:paraId="59F13123" w14:textId="77777777" w:rsidR="008820ED" w:rsidRPr="008820ED" w:rsidRDefault="008820ED" w:rsidP="008820ED">
      <w:pPr>
        <w:pStyle w:val="NoSpacing"/>
        <w:rPr>
          <w:rFonts w:ascii="Times New Roman" w:hAnsi="Times New Roman" w:cs="Times New Roman"/>
        </w:rPr>
      </w:pPr>
    </w:p>
    <w:p w14:paraId="14F6E7A8" w14:textId="77777777" w:rsidR="008820ED" w:rsidRPr="008820ED" w:rsidRDefault="008820ED" w:rsidP="008820ED">
      <w:pPr>
        <w:pStyle w:val="NoSpacing"/>
        <w:jc w:val="both"/>
        <w:rPr>
          <w:rFonts w:ascii="Times New Roman" w:hAnsi="Times New Roman" w:cs="Times New Roman"/>
        </w:rPr>
      </w:pPr>
      <w:r w:rsidRPr="008820ED">
        <w:rPr>
          <w:rFonts w:ascii="Times New Roman" w:hAnsi="Times New Roman" w:cs="Times New Roman"/>
        </w:rPr>
        <w:t xml:space="preserve">Furthermore, territorialisation refers to the degree to which an assemblage subjects its own components to a process of internal homogenisation, and the subsequent extent to which its boundaries are sharpened and made </w:t>
      </w:r>
      <w:r w:rsidRPr="008820ED">
        <w:rPr>
          <w:rFonts w:ascii="Times New Roman" w:hAnsi="Times New Roman" w:cs="Times New Roman"/>
        </w:rPr>
        <w:lastRenderedPageBreak/>
        <w:t>impermeable (</w:t>
      </w:r>
      <w:proofErr w:type="spellStart"/>
      <w:r w:rsidRPr="008820ED">
        <w:rPr>
          <w:rFonts w:ascii="Times New Roman" w:hAnsi="Times New Roman" w:cs="Times New Roman"/>
        </w:rPr>
        <w:t>DeLanda</w:t>
      </w:r>
      <w:proofErr w:type="spellEnd"/>
      <w:r w:rsidRPr="008820ED">
        <w:rPr>
          <w:rFonts w:ascii="Times New Roman" w:hAnsi="Times New Roman" w:cs="Times New Roman"/>
        </w:rPr>
        <w:t>, 2016).  While admittedly confusing to use the term ‘homogenisation’ in relation to assemblages’ pointedly heterogeneous components, territorialisation is a measure of internal homogeneity (</w:t>
      </w:r>
      <w:bookmarkStart w:id="33" w:name="_Hlk66648523"/>
      <w:r w:rsidRPr="008820ED">
        <w:rPr>
          <w:rFonts w:ascii="Times New Roman" w:hAnsi="Times New Roman" w:cs="Times New Roman"/>
        </w:rPr>
        <w:t xml:space="preserve">‘internal </w:t>
      </w:r>
      <w:bookmarkEnd w:id="33"/>
      <w:r w:rsidRPr="008820ED">
        <w:rPr>
          <w:rFonts w:ascii="Times New Roman" w:hAnsi="Times New Roman" w:cs="Times New Roman"/>
        </w:rPr>
        <w:t xml:space="preserve">coherency’ or ‘internal consistency’ are possibly more appropriate, alternative terms) (while </w:t>
      </w:r>
      <w:proofErr w:type="gramStart"/>
      <w:r w:rsidRPr="008820ED">
        <w:rPr>
          <w:rFonts w:ascii="Times New Roman" w:hAnsi="Times New Roman" w:cs="Times New Roman"/>
        </w:rPr>
        <w:t>at all times</w:t>
      </w:r>
      <w:proofErr w:type="gramEnd"/>
      <w:r w:rsidRPr="008820ED">
        <w:rPr>
          <w:rFonts w:ascii="Times New Roman" w:hAnsi="Times New Roman" w:cs="Times New Roman"/>
        </w:rPr>
        <w:t xml:space="preserve"> remembering that assemblage theory rejects the notion of ‘coherent wholes’). </w:t>
      </w:r>
      <w:bookmarkStart w:id="34" w:name="_Hlk66271202"/>
      <w:r w:rsidRPr="008820ED">
        <w:rPr>
          <w:rFonts w:ascii="Times New Roman" w:hAnsi="Times New Roman" w:cs="Times New Roman"/>
        </w:rPr>
        <w:t xml:space="preserve">Lastly, in forming boundaries, coding completes a territory. </w:t>
      </w:r>
      <w:bookmarkEnd w:id="34"/>
      <w:r w:rsidRPr="008820ED">
        <w:rPr>
          <w:rFonts w:ascii="Times New Roman" w:hAnsi="Times New Roman" w:cs="Times New Roman"/>
        </w:rPr>
        <w:t xml:space="preserve">Coding relates to the rules and traditions of a particular </w:t>
      </w:r>
      <w:proofErr w:type="gramStart"/>
      <w:r w:rsidRPr="008820ED">
        <w:rPr>
          <w:rFonts w:ascii="Times New Roman" w:hAnsi="Times New Roman" w:cs="Times New Roman"/>
        </w:rPr>
        <w:t>assemblage</w:t>
      </w:r>
      <w:proofErr w:type="gramEnd"/>
      <w:r w:rsidRPr="008820ED">
        <w:rPr>
          <w:rFonts w:ascii="Times New Roman" w:hAnsi="Times New Roman" w:cs="Times New Roman"/>
        </w:rPr>
        <w:t xml:space="preserve"> and, like territorialisation (content/expression), coding also fixes the identity of an assemblage. </w:t>
      </w:r>
      <w:bookmarkStart w:id="35" w:name="_Hlk66205051"/>
      <w:r w:rsidRPr="008820ED">
        <w:rPr>
          <w:rFonts w:ascii="Times New Roman" w:hAnsi="Times New Roman" w:cs="Times New Roman"/>
        </w:rPr>
        <w:t xml:space="preserve">The paper will return to the concepts of territorialisation (content and expression) and coding later. </w:t>
      </w:r>
      <w:bookmarkEnd w:id="35"/>
    </w:p>
    <w:p w14:paraId="5F21C6A3" w14:textId="77777777" w:rsidR="008820ED" w:rsidRPr="008820ED" w:rsidRDefault="008820ED" w:rsidP="008820ED">
      <w:pPr>
        <w:pStyle w:val="NoSpacing"/>
        <w:jc w:val="both"/>
        <w:rPr>
          <w:rFonts w:ascii="Times New Roman" w:hAnsi="Times New Roman" w:cs="Times New Roman"/>
          <w:color w:val="0000FF"/>
        </w:rPr>
      </w:pPr>
    </w:p>
    <w:p w14:paraId="2DCE344E" w14:textId="77777777" w:rsidR="008820ED" w:rsidRPr="008820ED" w:rsidRDefault="008820ED" w:rsidP="008820ED">
      <w:pPr>
        <w:pStyle w:val="NoSpacing"/>
        <w:jc w:val="both"/>
        <w:rPr>
          <w:rFonts w:ascii="Times New Roman" w:hAnsi="Times New Roman" w:cs="Times New Roman"/>
        </w:rPr>
      </w:pPr>
      <w:r w:rsidRPr="008820ED">
        <w:rPr>
          <w:rFonts w:ascii="Times New Roman" w:hAnsi="Times New Roman" w:cs="Times New Roman"/>
        </w:rPr>
        <w:t xml:space="preserve">Assemblage’s application to a wide variety of research topics, its manipulability and its chameleon-like qualities have already been noted. To this end, </w:t>
      </w:r>
      <w:proofErr w:type="gramStart"/>
      <w:r w:rsidRPr="008820ED">
        <w:rPr>
          <w:rFonts w:ascii="Times New Roman" w:hAnsi="Times New Roman" w:cs="Times New Roman"/>
        </w:rPr>
        <w:t>Anderson</w:t>
      </w:r>
      <w:proofErr w:type="gramEnd"/>
      <w:r w:rsidRPr="008820ED">
        <w:rPr>
          <w:rFonts w:ascii="Times New Roman" w:hAnsi="Times New Roman" w:cs="Times New Roman"/>
        </w:rPr>
        <w:t xml:space="preserve"> and MacFarlane (2011) observe the danger of the proliferation of assemblage’s usage devaluing its academic currency. In response, this section turns to those concepts and themes within assemblage theory which are most relevant to our study. Their inclusion seeks to ensure that – at the data analysis stage – assemblage theory is fully utilised as an explanatory force, to reveal meaning in the data. They are, in turn, the interrelated concepts of the rhizome/lines of flight, and the variables of </w:t>
      </w:r>
      <w:proofErr w:type="spellStart"/>
      <w:r w:rsidRPr="008820ED">
        <w:rPr>
          <w:rFonts w:ascii="Times New Roman" w:hAnsi="Times New Roman" w:cs="Times New Roman"/>
        </w:rPr>
        <w:t>materialities</w:t>
      </w:r>
      <w:proofErr w:type="spellEnd"/>
      <w:r w:rsidRPr="008820ED">
        <w:rPr>
          <w:rFonts w:ascii="Times New Roman" w:hAnsi="Times New Roman" w:cs="Times New Roman"/>
        </w:rPr>
        <w:t>/expressivities and coding.</w:t>
      </w:r>
    </w:p>
    <w:p w14:paraId="5AB96D0D" w14:textId="77777777" w:rsidR="008820ED" w:rsidRPr="008820ED" w:rsidRDefault="008820ED" w:rsidP="008820ED">
      <w:pPr>
        <w:pStyle w:val="NoSpacing"/>
        <w:rPr>
          <w:rFonts w:ascii="Times New Roman" w:hAnsi="Times New Roman" w:cs="Times New Roman"/>
          <w:b/>
          <w:bCs/>
          <w:color w:val="FF0000"/>
        </w:rPr>
      </w:pPr>
    </w:p>
    <w:p w14:paraId="169967F6" w14:textId="77777777" w:rsidR="008820ED" w:rsidRPr="008820ED" w:rsidRDefault="008820ED" w:rsidP="008820ED">
      <w:pPr>
        <w:pStyle w:val="NoSpacing"/>
        <w:rPr>
          <w:rFonts w:ascii="Times New Roman" w:hAnsi="Times New Roman" w:cs="Times New Roman"/>
          <w:b/>
          <w:bCs/>
          <w:i/>
          <w:iCs/>
          <w:u w:val="single"/>
        </w:rPr>
      </w:pPr>
      <w:r w:rsidRPr="008820ED">
        <w:rPr>
          <w:rFonts w:ascii="Times New Roman" w:hAnsi="Times New Roman" w:cs="Times New Roman"/>
          <w:b/>
          <w:bCs/>
          <w:i/>
          <w:iCs/>
          <w:u w:val="single"/>
        </w:rPr>
        <w:t>The rhizome and lines of flight</w:t>
      </w:r>
    </w:p>
    <w:p w14:paraId="163612D9" w14:textId="77777777" w:rsidR="008820ED" w:rsidRPr="008820ED" w:rsidRDefault="008820ED" w:rsidP="008820ED">
      <w:pPr>
        <w:pStyle w:val="NoSpacing"/>
        <w:jc w:val="both"/>
        <w:rPr>
          <w:rFonts w:ascii="Times New Roman" w:hAnsi="Times New Roman" w:cs="Times New Roman"/>
        </w:rPr>
      </w:pPr>
      <w:r w:rsidRPr="008820ED">
        <w:rPr>
          <w:rFonts w:ascii="Times New Roman" w:hAnsi="Times New Roman" w:cs="Times New Roman"/>
        </w:rPr>
        <w:t xml:space="preserve">An assemblage can have higher or lower levels of territorialisation. As the values lower, an assemblage’s boundaries grow softer/fuzzier because of the breaking-up of actual spatial boundaries or </w:t>
      </w:r>
      <w:bookmarkStart w:id="36" w:name="_Hlk66693695"/>
      <w:r w:rsidRPr="008820ED">
        <w:rPr>
          <w:rFonts w:ascii="Times New Roman" w:hAnsi="Times New Roman" w:cs="Times New Roman"/>
        </w:rPr>
        <w:t>through increased internal heterogeneity</w:t>
      </w:r>
      <w:bookmarkEnd w:id="36"/>
      <w:r w:rsidRPr="008820ED">
        <w:rPr>
          <w:rFonts w:ascii="Times New Roman" w:hAnsi="Times New Roman" w:cs="Times New Roman"/>
        </w:rPr>
        <w:t xml:space="preserve"> leading to a weaker identity (</w:t>
      </w:r>
      <w:proofErr w:type="spellStart"/>
      <w:r w:rsidRPr="008820ED">
        <w:rPr>
          <w:rFonts w:ascii="Times New Roman" w:hAnsi="Times New Roman" w:cs="Times New Roman"/>
        </w:rPr>
        <w:t>DeLanda</w:t>
      </w:r>
      <w:proofErr w:type="spellEnd"/>
      <w:r w:rsidRPr="008820ED">
        <w:rPr>
          <w:rFonts w:ascii="Times New Roman" w:hAnsi="Times New Roman" w:cs="Times New Roman"/>
        </w:rPr>
        <w:t xml:space="preserve">, 2006). Internal heterogeneity is increased when a component part starts to change in some way. For example, a component’s function might change because of the breakdown of a relationship or the impact of new legislation. </w:t>
      </w:r>
      <w:bookmarkStart w:id="37" w:name="_Hlk66696395"/>
      <w:r w:rsidRPr="008820ED">
        <w:rPr>
          <w:rFonts w:ascii="Times New Roman" w:hAnsi="Times New Roman" w:cs="Times New Roman"/>
        </w:rPr>
        <w:t>These destabilising processes are known as ‘</w:t>
      </w:r>
      <w:bookmarkStart w:id="38" w:name="_Hlk66696625"/>
      <w:r w:rsidRPr="008820ED">
        <w:rPr>
          <w:rFonts w:ascii="Times New Roman" w:hAnsi="Times New Roman" w:cs="Times New Roman"/>
        </w:rPr>
        <w:t>deterritorialization</w:t>
      </w:r>
      <w:bookmarkEnd w:id="38"/>
      <w:r w:rsidRPr="008820ED">
        <w:rPr>
          <w:rFonts w:ascii="Times New Roman" w:hAnsi="Times New Roman" w:cs="Times New Roman"/>
        </w:rPr>
        <w:t xml:space="preserve">’. </w:t>
      </w:r>
      <w:bookmarkEnd w:id="37"/>
      <w:r w:rsidRPr="008820ED">
        <w:rPr>
          <w:rFonts w:ascii="Times New Roman" w:hAnsi="Times New Roman" w:cs="Times New Roman"/>
        </w:rPr>
        <w:t xml:space="preserve">In terms of the repurposing of city centre retail space, deterritorialization processes would mean that space is becoming another spatial entity. </w:t>
      </w:r>
    </w:p>
    <w:p w14:paraId="337DD770" w14:textId="77777777" w:rsidR="008820ED" w:rsidRPr="008820ED" w:rsidRDefault="008820ED" w:rsidP="008820ED">
      <w:pPr>
        <w:jc w:val="both"/>
        <w:rPr>
          <w:sz w:val="22"/>
          <w:szCs w:val="22"/>
        </w:rPr>
      </w:pPr>
    </w:p>
    <w:p w14:paraId="7DBEBDE6" w14:textId="77777777" w:rsidR="008820ED" w:rsidRPr="008820ED" w:rsidRDefault="008820ED" w:rsidP="008820ED">
      <w:pPr>
        <w:jc w:val="both"/>
        <w:rPr>
          <w:sz w:val="22"/>
          <w:szCs w:val="22"/>
        </w:rPr>
      </w:pPr>
      <w:r w:rsidRPr="008820ED">
        <w:rPr>
          <w:sz w:val="22"/>
          <w:szCs w:val="22"/>
        </w:rPr>
        <w:t xml:space="preserve">While assemblages always ‘claim’ a territory as heterogeneous parts are </w:t>
      </w:r>
      <w:proofErr w:type="gramStart"/>
      <w:r w:rsidRPr="008820ED">
        <w:rPr>
          <w:sz w:val="22"/>
          <w:szCs w:val="22"/>
        </w:rPr>
        <w:t>gathered together</w:t>
      </w:r>
      <w:proofErr w:type="gramEnd"/>
      <w:r w:rsidRPr="008820ED">
        <w:rPr>
          <w:sz w:val="22"/>
          <w:szCs w:val="22"/>
        </w:rPr>
        <w:t xml:space="preserve"> and hold together, this can only ever be a provisional process. Assemblages of heterogeneous components are inherently unstable and fluid (Hillier and Abrahams, 2013). Indeed, assemblages are not expected to hold together indefinitely, </w:t>
      </w:r>
      <w:bookmarkStart w:id="39" w:name="_Hlk66705291"/>
      <w:r w:rsidRPr="008820ED">
        <w:rPr>
          <w:sz w:val="22"/>
          <w:szCs w:val="22"/>
        </w:rPr>
        <w:t xml:space="preserve">but instead </w:t>
      </w:r>
      <w:bookmarkStart w:id="40" w:name="_Hlk66699504"/>
      <w:r w:rsidRPr="008820ED">
        <w:rPr>
          <w:sz w:val="22"/>
          <w:szCs w:val="22"/>
        </w:rPr>
        <w:t xml:space="preserve">their instability (mobility) </w:t>
      </w:r>
      <w:bookmarkEnd w:id="40"/>
      <w:r w:rsidRPr="008820ED">
        <w:rPr>
          <w:sz w:val="22"/>
          <w:szCs w:val="22"/>
        </w:rPr>
        <w:t>means that there is always potential for innovation.</w:t>
      </w:r>
      <w:bookmarkEnd w:id="39"/>
      <w:r w:rsidRPr="008820ED">
        <w:rPr>
          <w:sz w:val="22"/>
          <w:szCs w:val="22"/>
        </w:rPr>
        <w:t xml:space="preserve"> </w:t>
      </w:r>
      <w:proofErr w:type="spellStart"/>
      <w:r w:rsidRPr="008820ED">
        <w:rPr>
          <w:sz w:val="22"/>
          <w:szCs w:val="22"/>
        </w:rPr>
        <w:t>Fuzzying</w:t>
      </w:r>
      <w:proofErr w:type="spellEnd"/>
      <w:r w:rsidRPr="008820ED">
        <w:rPr>
          <w:sz w:val="22"/>
          <w:szCs w:val="22"/>
        </w:rPr>
        <w:t xml:space="preserve"> processes (deterritorialization) produce difference, new </w:t>
      </w:r>
      <w:proofErr w:type="gramStart"/>
      <w:r w:rsidRPr="008820ED">
        <w:rPr>
          <w:sz w:val="22"/>
          <w:szCs w:val="22"/>
        </w:rPr>
        <w:t>forms</w:t>
      </w:r>
      <w:proofErr w:type="gramEnd"/>
      <w:r w:rsidRPr="008820ED">
        <w:rPr>
          <w:sz w:val="22"/>
          <w:szCs w:val="22"/>
        </w:rPr>
        <w:t xml:space="preserve"> and functions (</w:t>
      </w:r>
      <w:proofErr w:type="spellStart"/>
      <w:r w:rsidRPr="008820ED">
        <w:rPr>
          <w:sz w:val="22"/>
          <w:szCs w:val="22"/>
        </w:rPr>
        <w:t>Hooman</w:t>
      </w:r>
      <w:proofErr w:type="spellEnd"/>
      <w:r w:rsidRPr="008820ED">
        <w:rPr>
          <w:sz w:val="22"/>
          <w:szCs w:val="22"/>
        </w:rPr>
        <w:t xml:space="preserve"> and McDonald, 2019). An assemblage’s instability (mobility) means it is constantly opening-up to </w:t>
      </w:r>
      <w:bookmarkStart w:id="41" w:name="_Hlk66262539"/>
      <w:r w:rsidRPr="008820ED">
        <w:rPr>
          <w:sz w:val="22"/>
          <w:szCs w:val="22"/>
        </w:rPr>
        <w:t xml:space="preserve">new lines of flight, </w:t>
      </w:r>
      <w:bookmarkEnd w:id="41"/>
      <w:r w:rsidRPr="008820ED">
        <w:rPr>
          <w:sz w:val="22"/>
          <w:szCs w:val="22"/>
        </w:rPr>
        <w:t xml:space="preserve">new </w:t>
      </w:r>
      <w:proofErr w:type="spellStart"/>
      <w:r w:rsidRPr="008820ED">
        <w:rPr>
          <w:sz w:val="22"/>
          <w:szCs w:val="22"/>
        </w:rPr>
        <w:t>becomings</w:t>
      </w:r>
      <w:proofErr w:type="spellEnd"/>
      <w:r w:rsidRPr="008820ED">
        <w:rPr>
          <w:sz w:val="22"/>
          <w:szCs w:val="22"/>
        </w:rPr>
        <w:t xml:space="preserve"> (Anderson and MacFarlane, 2011; </w:t>
      </w:r>
      <w:r w:rsidRPr="008820ED">
        <w:rPr>
          <w:bCs/>
          <w:sz w:val="22"/>
          <w:szCs w:val="22"/>
        </w:rPr>
        <w:t xml:space="preserve">Savage, 2020). </w:t>
      </w:r>
      <w:r w:rsidRPr="008820ED">
        <w:rPr>
          <w:sz w:val="22"/>
          <w:szCs w:val="22"/>
        </w:rPr>
        <w:t xml:space="preserve">To better understand ‘lines of flight’, a key concept in Deleuze and </w:t>
      </w:r>
      <w:proofErr w:type="spellStart"/>
      <w:r w:rsidRPr="008820ED">
        <w:rPr>
          <w:sz w:val="22"/>
          <w:szCs w:val="22"/>
        </w:rPr>
        <w:t>Guattari’s</w:t>
      </w:r>
      <w:proofErr w:type="spellEnd"/>
      <w:r w:rsidRPr="008820ED">
        <w:rPr>
          <w:sz w:val="22"/>
          <w:szCs w:val="22"/>
        </w:rPr>
        <w:t xml:space="preserve"> work is the rhizome. </w:t>
      </w:r>
      <w:bookmarkStart w:id="42" w:name="_Hlk66262751"/>
      <w:r w:rsidRPr="008820ED">
        <w:rPr>
          <w:sz w:val="22"/>
          <w:szCs w:val="22"/>
        </w:rPr>
        <w:t xml:space="preserve">The rhizome and </w:t>
      </w:r>
      <w:bookmarkStart w:id="43" w:name="_Hlk66698774"/>
      <w:r w:rsidRPr="008820ED">
        <w:rPr>
          <w:sz w:val="22"/>
          <w:szCs w:val="22"/>
        </w:rPr>
        <w:t>the ‘</w:t>
      </w:r>
      <w:bookmarkStart w:id="44" w:name="_Hlk66696787"/>
      <w:r w:rsidRPr="008820ED">
        <w:rPr>
          <w:sz w:val="22"/>
          <w:szCs w:val="22"/>
        </w:rPr>
        <w:t xml:space="preserve">Earth-envisaged–as-one-huge-continuum’ </w:t>
      </w:r>
      <w:bookmarkEnd w:id="43"/>
      <w:bookmarkEnd w:id="44"/>
      <w:r w:rsidRPr="008820ED">
        <w:rPr>
          <w:sz w:val="22"/>
          <w:szCs w:val="22"/>
        </w:rPr>
        <w:t>are closely related metaphors. An attempt to dissect this continuum would reveal a dense, interweaved botanical rhizome where no element works alone, within an open system with no evident origin or end. Formed within this, in assemblage thinking, each assemblage is also an open system</w:t>
      </w:r>
      <w:r w:rsidRPr="008820ED">
        <w:rPr>
          <w:bCs/>
          <w:sz w:val="22"/>
          <w:szCs w:val="22"/>
        </w:rPr>
        <w:t xml:space="preserve"> (Holland, 2013). </w:t>
      </w:r>
      <w:r w:rsidRPr="008820ED">
        <w:rPr>
          <w:rFonts w:eastAsia="Times New Roman"/>
          <w:sz w:val="22"/>
          <w:szCs w:val="22"/>
          <w:lang w:eastAsia="en-GB"/>
        </w:rPr>
        <w:t xml:space="preserve">Components can unplug (detach) from a particular material or expressive function </w:t>
      </w:r>
      <w:r w:rsidRPr="008820ED">
        <w:rPr>
          <w:sz w:val="22"/>
          <w:szCs w:val="22"/>
        </w:rPr>
        <w:t xml:space="preserve">and </w:t>
      </w:r>
      <w:bookmarkStart w:id="45" w:name="_Hlk66710946"/>
      <w:proofErr w:type="spellStart"/>
      <w:r w:rsidRPr="008820ED">
        <w:rPr>
          <w:sz w:val="22"/>
          <w:szCs w:val="22"/>
        </w:rPr>
        <w:t>rhizomatically</w:t>
      </w:r>
      <w:proofErr w:type="spellEnd"/>
      <w:r w:rsidRPr="008820ED">
        <w:rPr>
          <w:sz w:val="22"/>
          <w:szCs w:val="22"/>
        </w:rPr>
        <w:t xml:space="preserve"> seek </w:t>
      </w:r>
      <w:bookmarkEnd w:id="45"/>
      <w:r w:rsidRPr="008820ED">
        <w:rPr>
          <w:sz w:val="22"/>
          <w:szCs w:val="22"/>
        </w:rPr>
        <w:t xml:space="preserve">to make connections to other assemblages along a </w:t>
      </w:r>
      <w:proofErr w:type="spellStart"/>
      <w:r w:rsidRPr="008820ED">
        <w:rPr>
          <w:i/>
          <w:iCs/>
          <w:sz w:val="22"/>
          <w:szCs w:val="22"/>
        </w:rPr>
        <w:t>ligne</w:t>
      </w:r>
      <w:proofErr w:type="spellEnd"/>
      <w:r w:rsidRPr="008820ED">
        <w:rPr>
          <w:i/>
          <w:iCs/>
          <w:sz w:val="22"/>
          <w:szCs w:val="22"/>
        </w:rPr>
        <w:t xml:space="preserve"> de </w:t>
      </w:r>
      <w:proofErr w:type="spellStart"/>
      <w:r w:rsidRPr="008820ED">
        <w:rPr>
          <w:i/>
          <w:iCs/>
          <w:sz w:val="22"/>
          <w:szCs w:val="22"/>
        </w:rPr>
        <w:t>fuite</w:t>
      </w:r>
      <w:proofErr w:type="spellEnd"/>
      <w:r w:rsidRPr="008820ED">
        <w:rPr>
          <w:sz w:val="22"/>
          <w:szCs w:val="22"/>
        </w:rPr>
        <w:t xml:space="preserve"> or line of flight – a type of conduit (</w:t>
      </w:r>
      <w:bookmarkStart w:id="46" w:name="_Hlk66701456"/>
      <w:r w:rsidRPr="008820ED">
        <w:rPr>
          <w:bCs/>
          <w:sz w:val="22"/>
          <w:szCs w:val="22"/>
        </w:rPr>
        <w:t xml:space="preserve">Deleuze and </w:t>
      </w:r>
      <w:proofErr w:type="spellStart"/>
      <w:r w:rsidRPr="008820ED">
        <w:rPr>
          <w:bCs/>
          <w:sz w:val="22"/>
          <w:szCs w:val="22"/>
        </w:rPr>
        <w:t>Guattari</w:t>
      </w:r>
      <w:bookmarkEnd w:id="46"/>
      <w:proofErr w:type="spellEnd"/>
      <w:r w:rsidRPr="008820ED">
        <w:rPr>
          <w:bCs/>
          <w:sz w:val="22"/>
          <w:szCs w:val="22"/>
        </w:rPr>
        <w:t>,</w:t>
      </w:r>
      <w:r w:rsidRPr="008820ED">
        <w:rPr>
          <w:sz w:val="22"/>
          <w:szCs w:val="22"/>
        </w:rPr>
        <w:t xml:space="preserve"> 1987</w:t>
      </w:r>
      <w:r w:rsidRPr="008820ED">
        <w:rPr>
          <w:bCs/>
          <w:sz w:val="22"/>
          <w:szCs w:val="22"/>
        </w:rPr>
        <w:t xml:space="preserve">; </w:t>
      </w:r>
      <w:proofErr w:type="spellStart"/>
      <w:r w:rsidRPr="008820ED">
        <w:rPr>
          <w:rFonts w:eastAsia="Times New Roman"/>
          <w:sz w:val="22"/>
          <w:szCs w:val="22"/>
          <w:lang w:eastAsia="en-GB"/>
        </w:rPr>
        <w:t>DeLanda</w:t>
      </w:r>
      <w:proofErr w:type="spellEnd"/>
      <w:r w:rsidRPr="008820ED">
        <w:rPr>
          <w:rFonts w:eastAsia="Times New Roman"/>
          <w:sz w:val="22"/>
          <w:szCs w:val="22"/>
          <w:lang w:eastAsia="en-GB"/>
        </w:rPr>
        <w:t>, 2017</w:t>
      </w:r>
      <w:bookmarkStart w:id="47" w:name="_Hlk66710561"/>
      <w:r w:rsidRPr="008820ED">
        <w:rPr>
          <w:sz w:val="22"/>
          <w:szCs w:val="22"/>
        </w:rPr>
        <w:t xml:space="preserve">; </w:t>
      </w:r>
      <w:bookmarkEnd w:id="47"/>
      <w:r w:rsidRPr="008820ED">
        <w:rPr>
          <w:rFonts w:eastAsia="Times New Roman"/>
          <w:bCs/>
          <w:sz w:val="22"/>
          <w:szCs w:val="22"/>
          <w:lang w:eastAsia="en-GB"/>
        </w:rPr>
        <w:t>Woods</w:t>
      </w:r>
      <w:r w:rsidRPr="008820ED">
        <w:rPr>
          <w:rFonts w:eastAsia="Times New Roman"/>
          <w:sz w:val="22"/>
          <w:szCs w:val="22"/>
          <w:lang w:eastAsia="en-GB"/>
        </w:rPr>
        <w:t>, 2017</w:t>
      </w:r>
      <w:r w:rsidRPr="008820ED">
        <w:rPr>
          <w:rFonts w:eastAsia="Times New Roman"/>
          <w:bCs/>
          <w:sz w:val="22"/>
          <w:szCs w:val="22"/>
          <w:lang w:eastAsia="en-GB"/>
        </w:rPr>
        <w:t>)</w:t>
      </w:r>
      <w:r w:rsidRPr="008820ED">
        <w:rPr>
          <w:sz w:val="22"/>
          <w:szCs w:val="22"/>
        </w:rPr>
        <w:t xml:space="preserve">. There will be a point along a line of flight </w:t>
      </w:r>
      <w:r w:rsidRPr="008820ED">
        <w:rPr>
          <w:rFonts w:eastAsia="Times New Roman"/>
          <w:sz w:val="22"/>
          <w:szCs w:val="22"/>
          <w:lang w:eastAsia="en-GB"/>
        </w:rPr>
        <w:t>where a change in essence (a change of state)</w:t>
      </w:r>
      <w:bookmarkStart w:id="48" w:name="_Hlk66699912"/>
      <w:r w:rsidRPr="008820ED">
        <w:rPr>
          <w:rFonts w:eastAsia="Times New Roman"/>
          <w:sz w:val="22"/>
          <w:szCs w:val="22"/>
          <w:lang w:eastAsia="en-GB"/>
        </w:rPr>
        <w:t xml:space="preserve"> will occur. This defines the point at which a ‘thing’ transforms into something else (or ceases to exist) (</w:t>
      </w:r>
      <w:proofErr w:type="spellStart"/>
      <w:r w:rsidRPr="008820ED">
        <w:rPr>
          <w:rFonts w:eastAsia="Times New Roman"/>
          <w:sz w:val="22"/>
          <w:szCs w:val="22"/>
          <w:lang w:eastAsia="en-GB"/>
        </w:rPr>
        <w:t>Muminovic</w:t>
      </w:r>
      <w:proofErr w:type="spellEnd"/>
      <w:r w:rsidRPr="008820ED">
        <w:rPr>
          <w:rFonts w:eastAsia="Times New Roman"/>
          <w:sz w:val="22"/>
          <w:szCs w:val="22"/>
          <w:lang w:eastAsia="en-GB"/>
        </w:rPr>
        <w:t>, 2015)</w:t>
      </w:r>
      <w:bookmarkStart w:id="49" w:name="_Hlk66699958"/>
      <w:bookmarkEnd w:id="48"/>
      <w:r w:rsidRPr="008820ED">
        <w:rPr>
          <w:sz w:val="22"/>
          <w:szCs w:val="22"/>
        </w:rPr>
        <w:t xml:space="preserve">. </w:t>
      </w:r>
      <w:bookmarkStart w:id="50" w:name="_Hlk66700774"/>
      <w:r w:rsidRPr="008820ED">
        <w:rPr>
          <w:sz w:val="22"/>
          <w:szCs w:val="22"/>
        </w:rPr>
        <w:t xml:space="preserve">In this way, in assemblage thinking, the action is in the rhizomic connections, whereby once sufficiently </w:t>
      </w:r>
      <w:proofErr w:type="spellStart"/>
      <w:r w:rsidRPr="008820ED">
        <w:rPr>
          <w:sz w:val="22"/>
          <w:szCs w:val="22"/>
        </w:rPr>
        <w:t>deterritorialised</w:t>
      </w:r>
      <w:proofErr w:type="spellEnd"/>
      <w:r w:rsidRPr="008820ED">
        <w:rPr>
          <w:sz w:val="22"/>
          <w:szCs w:val="22"/>
        </w:rPr>
        <w:t xml:space="preserve"> along a line of fight,</w:t>
      </w:r>
      <w:bookmarkStart w:id="51" w:name="_Hlk66700059"/>
      <w:r w:rsidRPr="008820ED">
        <w:rPr>
          <w:sz w:val="22"/>
          <w:szCs w:val="22"/>
        </w:rPr>
        <w:t xml:space="preserve"> </w:t>
      </w:r>
      <w:proofErr w:type="spellStart"/>
      <w:r w:rsidRPr="008820ED">
        <w:rPr>
          <w:sz w:val="22"/>
          <w:szCs w:val="22"/>
        </w:rPr>
        <w:t>reterritorialisation</w:t>
      </w:r>
      <w:proofErr w:type="spellEnd"/>
      <w:r w:rsidRPr="008820ED">
        <w:rPr>
          <w:sz w:val="22"/>
          <w:szCs w:val="22"/>
        </w:rPr>
        <w:t xml:space="preserve"> </w:t>
      </w:r>
      <w:bookmarkEnd w:id="51"/>
      <w:r w:rsidRPr="008820ED">
        <w:rPr>
          <w:sz w:val="22"/>
          <w:szCs w:val="22"/>
        </w:rPr>
        <w:t xml:space="preserve">(reassembly) begins, with the forming of a new assemblage. </w:t>
      </w:r>
      <w:bookmarkEnd w:id="50"/>
    </w:p>
    <w:p w14:paraId="19881512" w14:textId="77777777" w:rsidR="008820ED" w:rsidRPr="008820ED" w:rsidRDefault="008820ED" w:rsidP="008820ED">
      <w:pPr>
        <w:jc w:val="both"/>
        <w:rPr>
          <w:color w:val="0000FF"/>
          <w:sz w:val="22"/>
          <w:szCs w:val="22"/>
        </w:rPr>
      </w:pPr>
    </w:p>
    <w:p w14:paraId="149D1867" w14:textId="77777777" w:rsidR="008820ED" w:rsidRPr="008820ED" w:rsidRDefault="008820ED" w:rsidP="008820ED">
      <w:pPr>
        <w:jc w:val="both"/>
        <w:rPr>
          <w:color w:val="0000FF"/>
          <w:sz w:val="22"/>
          <w:szCs w:val="22"/>
        </w:rPr>
      </w:pPr>
      <w:r w:rsidRPr="008820ED">
        <w:rPr>
          <w:sz w:val="22"/>
          <w:szCs w:val="22"/>
        </w:rPr>
        <w:t xml:space="preserve">The rhizome metaphor draws on the idea that social and material formations are assemblages of other complex configurations, and they in turn play roles in other, more extended configurations (Van </w:t>
      </w:r>
      <w:proofErr w:type="spellStart"/>
      <w:r w:rsidRPr="008820ED">
        <w:rPr>
          <w:sz w:val="22"/>
          <w:szCs w:val="22"/>
        </w:rPr>
        <w:t>Wezemael</w:t>
      </w:r>
      <w:proofErr w:type="spellEnd"/>
      <w:r w:rsidRPr="008820ED">
        <w:rPr>
          <w:sz w:val="22"/>
          <w:szCs w:val="22"/>
        </w:rPr>
        <w:t>, 2008). A</w:t>
      </w:r>
      <w:r w:rsidRPr="008820ED">
        <w:rPr>
          <w:rFonts w:eastAsia="Times New Roman"/>
          <w:sz w:val="22"/>
          <w:szCs w:val="22"/>
          <w:lang w:eastAsia="en-GB"/>
        </w:rPr>
        <w:t xml:space="preserve"> key point to make is that </w:t>
      </w:r>
      <w:r w:rsidRPr="008820ED">
        <w:rPr>
          <w:sz w:val="22"/>
          <w:szCs w:val="22"/>
        </w:rPr>
        <w:t>action (or agency) is co-created.</w:t>
      </w:r>
      <w:bookmarkEnd w:id="49"/>
      <w:r w:rsidRPr="008820ED">
        <w:rPr>
          <w:sz w:val="22"/>
          <w:szCs w:val="22"/>
        </w:rPr>
        <w:t xml:space="preserve"> A component part looks outwards, focuses </w:t>
      </w:r>
      <w:proofErr w:type="gramStart"/>
      <w:r w:rsidRPr="008820ED">
        <w:rPr>
          <w:sz w:val="22"/>
          <w:szCs w:val="22"/>
        </w:rPr>
        <w:t>elsewhere</w:t>
      </w:r>
      <w:proofErr w:type="gramEnd"/>
      <w:r w:rsidRPr="008820ED">
        <w:rPr>
          <w:sz w:val="22"/>
          <w:szCs w:val="22"/>
        </w:rPr>
        <w:t xml:space="preserve"> and exits (flees/flows/leaks away from) an extant assemblage and starts to form a new assemblage with other components. This instability (mobility) brings a potential for innovation because the component part has both benefitted from the experience of being part of the extant assemblage while also having an outward view, looking elsewhere, into the world outside that assemblage.</w:t>
      </w:r>
      <w:r w:rsidRPr="008820ED">
        <w:rPr>
          <w:rFonts w:eastAsia="Times New Roman"/>
          <w:sz w:val="22"/>
          <w:szCs w:val="22"/>
          <w:lang w:eastAsia="en-GB"/>
        </w:rPr>
        <w:t xml:space="preserve"> In this vein, processes of territorialization, deterritorialization and </w:t>
      </w:r>
      <w:proofErr w:type="spellStart"/>
      <w:r w:rsidRPr="008820ED">
        <w:rPr>
          <w:rFonts w:eastAsia="Times New Roman"/>
          <w:sz w:val="22"/>
          <w:szCs w:val="22"/>
          <w:lang w:eastAsia="en-GB"/>
        </w:rPr>
        <w:t>reterritorialisation</w:t>
      </w:r>
      <w:proofErr w:type="spellEnd"/>
      <w:r w:rsidRPr="008820ED">
        <w:rPr>
          <w:rFonts w:eastAsia="Times New Roman"/>
          <w:sz w:val="22"/>
          <w:szCs w:val="22"/>
          <w:lang w:eastAsia="en-GB"/>
        </w:rPr>
        <w:t xml:space="preserve"> enable us to </w:t>
      </w:r>
      <w:r w:rsidRPr="008820ED">
        <w:rPr>
          <w:rFonts w:eastAsia="Times New Roman"/>
          <w:color w:val="000000"/>
          <w:sz w:val="22"/>
          <w:szCs w:val="22"/>
          <w:lang w:eastAsia="en-GB"/>
        </w:rPr>
        <w:t>acknowledge the mutual influence of the inside and the outside of a particular assemblage (</w:t>
      </w:r>
      <w:proofErr w:type="spellStart"/>
      <w:r w:rsidRPr="008820ED">
        <w:rPr>
          <w:rFonts w:eastAsia="Times New Roman"/>
          <w:color w:val="000000"/>
          <w:sz w:val="22"/>
          <w:szCs w:val="22"/>
          <w:lang w:eastAsia="en-GB"/>
        </w:rPr>
        <w:t>Hooman</w:t>
      </w:r>
      <w:proofErr w:type="spellEnd"/>
      <w:r w:rsidRPr="008820ED">
        <w:rPr>
          <w:rFonts w:eastAsia="Times New Roman"/>
          <w:color w:val="000000"/>
          <w:sz w:val="22"/>
          <w:szCs w:val="22"/>
          <w:lang w:eastAsia="en-GB"/>
        </w:rPr>
        <w:t xml:space="preserve"> &amp; McDonald 2019).</w:t>
      </w:r>
      <w:r w:rsidRPr="008820ED">
        <w:rPr>
          <w:sz w:val="22"/>
          <w:szCs w:val="22"/>
        </w:rPr>
        <w:t xml:space="preserve"> Action is co-created with the outside world, whereby assemblages are opportunistic, like </w:t>
      </w:r>
      <w:bookmarkStart w:id="52" w:name="_Hlk66700237"/>
      <w:r w:rsidRPr="008820ED">
        <w:rPr>
          <w:sz w:val="22"/>
          <w:szCs w:val="22"/>
        </w:rPr>
        <w:t>a rhizome.</w:t>
      </w:r>
    </w:p>
    <w:bookmarkEnd w:id="42"/>
    <w:bookmarkEnd w:id="52"/>
    <w:p w14:paraId="69BDD81F" w14:textId="77777777" w:rsidR="008820ED" w:rsidRPr="008820ED" w:rsidRDefault="008820ED" w:rsidP="008820ED">
      <w:pPr>
        <w:pStyle w:val="NoSpacing"/>
        <w:rPr>
          <w:rFonts w:ascii="Times New Roman" w:hAnsi="Times New Roman" w:cs="Times New Roman"/>
          <w:color w:val="0000FF"/>
        </w:rPr>
      </w:pPr>
    </w:p>
    <w:p w14:paraId="3318F9A6" w14:textId="77777777" w:rsidR="008820ED" w:rsidRPr="008820ED" w:rsidRDefault="008820ED" w:rsidP="008820ED">
      <w:pPr>
        <w:pStyle w:val="NoSpacing"/>
        <w:rPr>
          <w:rFonts w:ascii="Times New Roman" w:hAnsi="Times New Roman" w:cs="Times New Roman"/>
          <w:b/>
          <w:bCs/>
          <w:i/>
          <w:iCs/>
          <w:u w:val="single"/>
        </w:rPr>
      </w:pPr>
      <w:bookmarkStart w:id="53" w:name="_Hlk66194746"/>
      <w:r w:rsidRPr="008820ED">
        <w:rPr>
          <w:rFonts w:ascii="Times New Roman" w:hAnsi="Times New Roman" w:cs="Times New Roman"/>
          <w:b/>
          <w:bCs/>
          <w:i/>
          <w:iCs/>
          <w:u w:val="single"/>
        </w:rPr>
        <w:t xml:space="preserve">The variables of </w:t>
      </w:r>
      <w:proofErr w:type="spellStart"/>
      <w:r w:rsidRPr="008820ED">
        <w:rPr>
          <w:rFonts w:ascii="Times New Roman" w:hAnsi="Times New Roman" w:cs="Times New Roman"/>
          <w:b/>
          <w:bCs/>
          <w:i/>
          <w:iCs/>
          <w:u w:val="single"/>
        </w:rPr>
        <w:t>materialities</w:t>
      </w:r>
      <w:proofErr w:type="spellEnd"/>
      <w:r w:rsidRPr="008820ED">
        <w:rPr>
          <w:rFonts w:ascii="Times New Roman" w:hAnsi="Times New Roman" w:cs="Times New Roman"/>
          <w:b/>
          <w:bCs/>
          <w:i/>
          <w:iCs/>
          <w:u w:val="single"/>
        </w:rPr>
        <w:t xml:space="preserve">/expressivities and coding </w:t>
      </w:r>
    </w:p>
    <w:p w14:paraId="602E2DB8" w14:textId="77777777" w:rsidR="008820ED" w:rsidRPr="008820ED" w:rsidRDefault="008820ED" w:rsidP="008820ED">
      <w:pPr>
        <w:pStyle w:val="NoSpacing"/>
        <w:jc w:val="both"/>
        <w:rPr>
          <w:rFonts w:ascii="Times New Roman" w:hAnsi="Times New Roman" w:cs="Times New Roman"/>
        </w:rPr>
      </w:pPr>
      <w:r w:rsidRPr="008820ED">
        <w:rPr>
          <w:rFonts w:ascii="Times New Roman" w:hAnsi="Times New Roman" w:cs="Times New Roman"/>
        </w:rPr>
        <w:lastRenderedPageBreak/>
        <w:t xml:space="preserve">While there is a point along a line of flight which marks a change of essence (state) and a subsequent transformation into something else (or a demise), before reaching this threshold, assemblages exhibit variable states relating to use (material or more symbolic), intensity of use and the </w:t>
      </w:r>
      <w:proofErr w:type="gramStart"/>
      <w:r w:rsidRPr="008820ED">
        <w:rPr>
          <w:rFonts w:ascii="Times New Roman" w:hAnsi="Times New Roman" w:cs="Times New Roman"/>
        </w:rPr>
        <w:t>particular rules/traditions</w:t>
      </w:r>
      <w:proofErr w:type="gramEnd"/>
      <w:r w:rsidRPr="008820ED">
        <w:rPr>
          <w:rFonts w:ascii="Times New Roman" w:hAnsi="Times New Roman" w:cs="Times New Roman"/>
        </w:rPr>
        <w:t xml:space="preserve"> of any given assemblage – which result in changes taking place at varying speeds. As such, </w:t>
      </w:r>
      <w:proofErr w:type="spellStart"/>
      <w:r w:rsidRPr="008820ED">
        <w:rPr>
          <w:rFonts w:ascii="Times New Roman" w:hAnsi="Times New Roman" w:cs="Times New Roman"/>
        </w:rPr>
        <w:t>DeLanda</w:t>
      </w:r>
      <w:proofErr w:type="spellEnd"/>
      <w:r w:rsidRPr="008820ED">
        <w:rPr>
          <w:rFonts w:ascii="Times New Roman" w:hAnsi="Times New Roman" w:cs="Times New Roman"/>
        </w:rPr>
        <w:t xml:space="preserve"> (2016) describes an assemblage as a ‘parameterised concept’ with certain ‘given variables’ (parameters). These variables relate to fixing the identity of an assemblage, through territorialisation (intensity of use</w:t>
      </w:r>
      <w:r w:rsidRPr="008820ED" w:rsidDel="007627FF">
        <w:rPr>
          <w:rFonts w:ascii="Times New Roman" w:hAnsi="Times New Roman" w:cs="Times New Roman"/>
        </w:rPr>
        <w:t xml:space="preserve"> </w:t>
      </w:r>
      <w:r w:rsidRPr="008820ED">
        <w:rPr>
          <w:rFonts w:ascii="Times New Roman" w:hAnsi="Times New Roman" w:cs="Times New Roman"/>
        </w:rPr>
        <w:t xml:space="preserve">from material to expressive) and the extent to which an assemblage is coded. Territorial and coding alterations to an assemblage produce phenomena of relative slowness and viscosity, or, on the contrary, of acceleration and rupture [along the line of flight] (Deleuze and </w:t>
      </w:r>
      <w:proofErr w:type="spellStart"/>
      <w:r w:rsidRPr="008820ED">
        <w:rPr>
          <w:rFonts w:ascii="Times New Roman" w:hAnsi="Times New Roman" w:cs="Times New Roman"/>
        </w:rPr>
        <w:t>Guattari</w:t>
      </w:r>
      <w:proofErr w:type="spellEnd"/>
      <w:r w:rsidRPr="008820ED">
        <w:rPr>
          <w:rFonts w:ascii="Times New Roman" w:hAnsi="Times New Roman" w:cs="Times New Roman"/>
          <w:bCs/>
        </w:rPr>
        <w:t>, 1987</w:t>
      </w:r>
      <w:r w:rsidRPr="008820ED">
        <w:rPr>
          <w:rFonts w:ascii="Times New Roman" w:hAnsi="Times New Roman" w:cs="Times New Roman"/>
        </w:rPr>
        <w:t xml:space="preserve">). In this way, assemblages can sometimes undergo abrupt changes, as seen in city centre retail space. To help conceptualise an assemblage’s variable states, assemblage theorists have referred to charting points on horizontal/vertical axes (Deleuze and </w:t>
      </w:r>
      <w:proofErr w:type="spellStart"/>
      <w:r w:rsidRPr="008820ED">
        <w:rPr>
          <w:rFonts w:ascii="Times New Roman" w:hAnsi="Times New Roman" w:cs="Times New Roman"/>
        </w:rPr>
        <w:t>Guattari</w:t>
      </w:r>
      <w:proofErr w:type="spellEnd"/>
      <w:r w:rsidRPr="008820ED">
        <w:rPr>
          <w:rFonts w:ascii="Times New Roman" w:hAnsi="Times New Roman" w:cs="Times New Roman"/>
        </w:rPr>
        <w:t>) or drawn-on the imagery of laboratory experiments and the metaphor of tuning control dials to adjust the variables of an artificial phenomenon’s environment (</w:t>
      </w:r>
      <w:proofErr w:type="spellStart"/>
      <w:r w:rsidRPr="008820ED">
        <w:rPr>
          <w:rFonts w:ascii="Times New Roman" w:hAnsi="Times New Roman" w:cs="Times New Roman"/>
        </w:rPr>
        <w:t>DeLanda</w:t>
      </w:r>
      <w:proofErr w:type="spellEnd"/>
      <w:r w:rsidRPr="008820ED">
        <w:rPr>
          <w:rFonts w:ascii="Times New Roman" w:hAnsi="Times New Roman" w:cs="Times New Roman"/>
        </w:rPr>
        <w:t xml:space="preserve">). The latter’s metaphor of tuning control dials can also help emphasise the speed of change which can impact on the individual components of an assemblage. However, the key point to make is that </w:t>
      </w:r>
      <w:bookmarkEnd w:id="53"/>
      <w:r w:rsidRPr="008820ED">
        <w:rPr>
          <w:rFonts w:ascii="Times New Roman" w:hAnsi="Times New Roman" w:cs="Times New Roman"/>
        </w:rPr>
        <w:t>an assemblage, to some degree, is always in a state of flux, but – despite this – it can remain below the threshold marking a change of essence (state).</w:t>
      </w:r>
    </w:p>
    <w:p w14:paraId="669CD292" w14:textId="77777777" w:rsidR="008820ED" w:rsidRPr="008820ED" w:rsidRDefault="008820ED" w:rsidP="008820ED">
      <w:pPr>
        <w:pStyle w:val="NoSpacing"/>
        <w:rPr>
          <w:rFonts w:ascii="Times New Roman" w:hAnsi="Times New Roman" w:cs="Times New Roman"/>
          <w:b/>
          <w:bCs/>
        </w:rPr>
      </w:pPr>
    </w:p>
    <w:p w14:paraId="29470601" w14:textId="77777777" w:rsidR="008820ED" w:rsidRPr="008820ED" w:rsidRDefault="008820ED" w:rsidP="008820ED">
      <w:pPr>
        <w:pStyle w:val="NoSpacing"/>
        <w:rPr>
          <w:rFonts w:ascii="Times New Roman" w:hAnsi="Times New Roman" w:cs="Times New Roman"/>
          <w:b/>
          <w:bCs/>
          <w:i/>
          <w:iCs/>
          <w:u w:val="single"/>
        </w:rPr>
      </w:pPr>
      <w:bookmarkStart w:id="54" w:name="_Hlk66273458"/>
      <w:r w:rsidRPr="008820ED">
        <w:rPr>
          <w:rFonts w:ascii="Times New Roman" w:hAnsi="Times New Roman" w:cs="Times New Roman"/>
          <w:b/>
          <w:bCs/>
          <w:i/>
          <w:iCs/>
          <w:u w:val="single"/>
        </w:rPr>
        <w:t>Coding</w:t>
      </w:r>
    </w:p>
    <w:p w14:paraId="24BE1B79" w14:textId="77777777" w:rsidR="008820ED" w:rsidRPr="008820ED" w:rsidRDefault="008820ED" w:rsidP="008820ED">
      <w:pPr>
        <w:jc w:val="both"/>
        <w:rPr>
          <w:sz w:val="22"/>
          <w:szCs w:val="22"/>
        </w:rPr>
      </w:pPr>
      <w:bookmarkStart w:id="55" w:name="_Hlk66209233"/>
      <w:r w:rsidRPr="008820ED">
        <w:rPr>
          <w:sz w:val="22"/>
          <w:szCs w:val="22"/>
        </w:rPr>
        <w:t>Coding is the process of ordering matter in an assemblage. Through its rules and rituals an assemblage embodies an emergent order (code) which enables it to hold together. In this way, each assemblage has its own life (</w:t>
      </w:r>
      <w:proofErr w:type="spellStart"/>
      <w:r w:rsidRPr="008820ED">
        <w:rPr>
          <w:sz w:val="22"/>
          <w:szCs w:val="22"/>
        </w:rPr>
        <w:t>Hooman</w:t>
      </w:r>
      <w:proofErr w:type="spellEnd"/>
      <w:r w:rsidRPr="008820ED">
        <w:rPr>
          <w:sz w:val="22"/>
          <w:szCs w:val="22"/>
        </w:rPr>
        <w:t xml:space="preserve"> and McDonald 2019). Moreover, there is both formal coding (forms of government of others) and informal coding (forms of government of self). By this it is meant that humans are both governed (regulated) and self-governing (self-regulating) subjects. We are governed by formal rules, and self-governed by informal rituals, </w:t>
      </w:r>
      <w:proofErr w:type="gramStart"/>
      <w:r w:rsidRPr="008820ED">
        <w:rPr>
          <w:sz w:val="22"/>
          <w:szCs w:val="22"/>
        </w:rPr>
        <w:t>habits</w:t>
      </w:r>
      <w:proofErr w:type="gramEnd"/>
      <w:r w:rsidRPr="008820ED">
        <w:rPr>
          <w:sz w:val="22"/>
          <w:szCs w:val="22"/>
        </w:rPr>
        <w:t xml:space="preserve"> and traditions. </w:t>
      </w:r>
      <w:bookmarkEnd w:id="54"/>
      <w:r w:rsidRPr="008820ED">
        <w:rPr>
          <w:sz w:val="22"/>
          <w:szCs w:val="22"/>
        </w:rPr>
        <w:t xml:space="preserve">In a city </w:t>
      </w:r>
      <w:proofErr w:type="spellStart"/>
      <w:r w:rsidRPr="008820ED">
        <w:rPr>
          <w:sz w:val="22"/>
          <w:szCs w:val="22"/>
        </w:rPr>
        <w:t>centre</w:t>
      </w:r>
      <w:proofErr w:type="spellEnd"/>
      <w:r w:rsidRPr="008820ED">
        <w:rPr>
          <w:sz w:val="22"/>
          <w:szCs w:val="22"/>
        </w:rPr>
        <w:t xml:space="preserve"> retail assemblage, examples of formal ‘rules’ might be a host of property-related (civil) laws. Moreover, given our study examines materials, a key point to make is that </w:t>
      </w:r>
      <w:bookmarkStart w:id="56" w:name="_Hlk67477021"/>
      <w:r w:rsidRPr="008820ED">
        <w:rPr>
          <w:sz w:val="22"/>
          <w:szCs w:val="22"/>
        </w:rPr>
        <w:t>legislation is coded into structures/buildings themselves</w:t>
      </w:r>
      <w:bookmarkEnd w:id="56"/>
      <w:r w:rsidRPr="008820ED">
        <w:rPr>
          <w:sz w:val="22"/>
          <w:szCs w:val="22"/>
        </w:rPr>
        <w:t xml:space="preserve">, in the form of planning policies and building regulations. Informal rituals, habits and traditions </w:t>
      </w:r>
      <w:bookmarkEnd w:id="55"/>
      <w:r w:rsidRPr="008820ED">
        <w:rPr>
          <w:sz w:val="22"/>
          <w:szCs w:val="22"/>
        </w:rPr>
        <w:t xml:space="preserve">might be </w:t>
      </w:r>
      <w:bookmarkStart w:id="57" w:name="_Hlk66273810"/>
      <w:r w:rsidRPr="008820ED">
        <w:rPr>
          <w:sz w:val="22"/>
          <w:szCs w:val="22"/>
        </w:rPr>
        <w:t xml:space="preserve">everyday cultural practices </w:t>
      </w:r>
      <w:bookmarkEnd w:id="57"/>
      <w:r w:rsidRPr="008820ED">
        <w:rPr>
          <w:sz w:val="22"/>
          <w:szCs w:val="22"/>
        </w:rPr>
        <w:t xml:space="preserve">such as </w:t>
      </w:r>
      <w:proofErr w:type="gramStart"/>
      <w:r w:rsidRPr="008820ED">
        <w:rPr>
          <w:sz w:val="22"/>
          <w:szCs w:val="22"/>
        </w:rPr>
        <w:t>late night</w:t>
      </w:r>
      <w:proofErr w:type="gramEnd"/>
      <w:r w:rsidRPr="008820ED">
        <w:rPr>
          <w:sz w:val="22"/>
          <w:szCs w:val="22"/>
        </w:rPr>
        <w:t xml:space="preserve"> shopping, festive events and the January sales.</w:t>
      </w:r>
      <w:bookmarkStart w:id="58" w:name="_Hlk66209355"/>
      <w:r w:rsidRPr="008820ED">
        <w:rPr>
          <w:sz w:val="22"/>
          <w:szCs w:val="22"/>
        </w:rPr>
        <w:t xml:space="preserve"> An assemblage can have higher or lower levels of coding, and – given coding is a variable – coding alterations can take place (such as new legislation). Like </w:t>
      </w:r>
      <w:proofErr w:type="spellStart"/>
      <w:r w:rsidRPr="008820ED">
        <w:rPr>
          <w:sz w:val="22"/>
          <w:szCs w:val="22"/>
        </w:rPr>
        <w:t>territorialisation</w:t>
      </w:r>
      <w:proofErr w:type="spellEnd"/>
      <w:r w:rsidRPr="008820ED">
        <w:rPr>
          <w:sz w:val="22"/>
          <w:szCs w:val="22"/>
        </w:rPr>
        <w:t xml:space="preserve"> (content/expression), coding alterations may not lead to a demolishing of existing codes and ultimately a change in essence (a change in state/</w:t>
      </w:r>
      <w:proofErr w:type="spellStart"/>
      <w:r w:rsidRPr="008820ED">
        <w:rPr>
          <w:sz w:val="22"/>
          <w:szCs w:val="22"/>
        </w:rPr>
        <w:t>deterritorialisation</w:t>
      </w:r>
      <w:proofErr w:type="spellEnd"/>
      <w:r w:rsidRPr="008820ED">
        <w:rPr>
          <w:sz w:val="22"/>
          <w:szCs w:val="22"/>
        </w:rPr>
        <w:t>), but instead a partial reordering (</w:t>
      </w:r>
      <w:proofErr w:type="spellStart"/>
      <w:r w:rsidRPr="008820ED">
        <w:rPr>
          <w:sz w:val="22"/>
          <w:szCs w:val="22"/>
        </w:rPr>
        <w:t>Hooman</w:t>
      </w:r>
      <w:proofErr w:type="spellEnd"/>
      <w:r w:rsidRPr="008820ED">
        <w:rPr>
          <w:sz w:val="22"/>
          <w:szCs w:val="22"/>
        </w:rPr>
        <w:t xml:space="preserve"> &amp; McDonald 2019). In these ways, codes play a role in fixing an identity of an assemblage and, through establishing boundaries/laying down a frame, coding completes a territory. </w:t>
      </w:r>
      <w:bookmarkStart w:id="59" w:name="_Hlk66711357"/>
      <w:bookmarkStart w:id="60" w:name="_Hlk66709877"/>
    </w:p>
    <w:p w14:paraId="2C30B2E5" w14:textId="77777777" w:rsidR="008820ED" w:rsidRPr="008820ED" w:rsidRDefault="008820ED" w:rsidP="008820ED">
      <w:pPr>
        <w:jc w:val="both"/>
        <w:rPr>
          <w:sz w:val="22"/>
          <w:szCs w:val="22"/>
        </w:rPr>
      </w:pPr>
      <w:bookmarkStart w:id="61" w:name="_Hlk66712191"/>
    </w:p>
    <w:p w14:paraId="634BCF09" w14:textId="77777777" w:rsidR="008820ED" w:rsidRPr="008820ED" w:rsidRDefault="008820ED" w:rsidP="008820ED">
      <w:pPr>
        <w:pStyle w:val="NoSpacing"/>
        <w:jc w:val="both"/>
        <w:rPr>
          <w:rFonts w:ascii="Times New Roman" w:hAnsi="Times New Roman" w:cs="Times New Roman"/>
          <w:color w:val="0000FF"/>
        </w:rPr>
      </w:pPr>
      <w:r w:rsidRPr="008820ED">
        <w:rPr>
          <w:rFonts w:ascii="Times New Roman" w:hAnsi="Times New Roman" w:cs="Times New Roman"/>
        </w:rPr>
        <w:t>Through this introduction to the key concepts of assemblage thinking, and those most relevant to this study, it is seen that</w:t>
      </w:r>
      <w:bookmarkStart w:id="62" w:name="_Hlk66712274"/>
      <w:r w:rsidRPr="008820ED">
        <w:rPr>
          <w:rFonts w:ascii="Times New Roman" w:hAnsi="Times New Roman" w:cs="Times New Roman"/>
        </w:rPr>
        <w:t xml:space="preserve"> </w:t>
      </w:r>
      <w:bookmarkEnd w:id="62"/>
      <w:r w:rsidRPr="008820ED">
        <w:rPr>
          <w:rFonts w:ascii="Times New Roman" w:hAnsi="Times New Roman" w:cs="Times New Roman"/>
        </w:rPr>
        <w:t xml:space="preserve">assemblage thinking is concerned with how collectives are produced, not as aggregates, but as assemblages that have generated their particular ‘own life’ through relationships of multiple different groups, buildings/spaces, formalized codes of control and more informal habits and traditions, all overlaid with a distinct symbolic expression. </w:t>
      </w:r>
      <w:bookmarkStart w:id="63" w:name="_Hlk66714101"/>
      <w:r w:rsidRPr="008820ED">
        <w:rPr>
          <w:rFonts w:ascii="Times New Roman" w:hAnsi="Times New Roman" w:cs="Times New Roman"/>
        </w:rPr>
        <w:t xml:space="preserve">Assemblage theory offers understanding of place through its development, giving a broad image of ‘place’ as undergoing phase transitions as the nature of that place changes – gradually or abruptly. </w:t>
      </w:r>
      <w:bookmarkStart w:id="64" w:name="_Hlk66714750"/>
      <w:bookmarkStart w:id="65" w:name="_Hlk66198382"/>
      <w:bookmarkEnd w:id="58"/>
      <w:bookmarkEnd w:id="59"/>
      <w:bookmarkEnd w:id="60"/>
      <w:bookmarkEnd w:id="61"/>
      <w:bookmarkEnd w:id="63"/>
      <w:r w:rsidRPr="008820ED">
        <w:rPr>
          <w:rFonts w:ascii="Times New Roman" w:hAnsi="Times New Roman" w:cs="Times New Roman"/>
        </w:rPr>
        <w:t>As highlighted, assemblage theory can risk slipping into a conceptual labyrinth. In response, this summary of an assemblage’s key properties and assemblage theory’s concepts/themes most relevant to our study provides a touchstone to return to</w:t>
      </w:r>
      <w:bookmarkEnd w:id="64"/>
      <w:bookmarkEnd w:id="65"/>
      <w:r w:rsidRPr="008820ED">
        <w:rPr>
          <w:rFonts w:ascii="Times New Roman" w:hAnsi="Times New Roman" w:cs="Times New Roman"/>
        </w:rPr>
        <w:t>.</w:t>
      </w:r>
    </w:p>
    <w:p w14:paraId="6E526FEC" w14:textId="77777777" w:rsidR="008820ED" w:rsidRPr="008820ED" w:rsidRDefault="008820ED" w:rsidP="008820ED">
      <w:pPr>
        <w:rPr>
          <w:rFonts w:eastAsia="Times New Roman"/>
          <w:sz w:val="22"/>
          <w:szCs w:val="22"/>
          <w:lang w:eastAsia="en-GB"/>
        </w:rPr>
      </w:pPr>
    </w:p>
    <w:p w14:paraId="6B9CA0E6" w14:textId="77777777" w:rsidR="008820ED" w:rsidRPr="008820ED" w:rsidRDefault="008820ED" w:rsidP="008820ED">
      <w:pPr>
        <w:rPr>
          <w:b/>
          <w:sz w:val="22"/>
          <w:szCs w:val="22"/>
        </w:rPr>
      </w:pPr>
      <w:r w:rsidRPr="008820ED">
        <w:rPr>
          <w:rFonts w:eastAsia="Times New Roman"/>
          <w:b/>
          <w:sz w:val="22"/>
          <w:szCs w:val="22"/>
          <w:lang w:eastAsia="en-GB"/>
        </w:rPr>
        <w:t>3. Methods and data</w:t>
      </w:r>
    </w:p>
    <w:p w14:paraId="72D5949B" w14:textId="77777777" w:rsidR="008820ED" w:rsidRPr="008820ED" w:rsidRDefault="008820ED" w:rsidP="008820ED">
      <w:pPr>
        <w:autoSpaceDE w:val="0"/>
        <w:autoSpaceDN w:val="0"/>
        <w:adjustRightInd w:val="0"/>
        <w:jc w:val="both"/>
        <w:rPr>
          <w:bCs/>
          <w:sz w:val="22"/>
          <w:szCs w:val="22"/>
        </w:rPr>
      </w:pPr>
    </w:p>
    <w:p w14:paraId="06B304A9" w14:textId="77777777" w:rsidR="008820ED" w:rsidRPr="008820ED" w:rsidRDefault="008820ED" w:rsidP="008820ED">
      <w:pPr>
        <w:jc w:val="both"/>
        <w:rPr>
          <w:sz w:val="22"/>
          <w:szCs w:val="22"/>
        </w:rPr>
      </w:pPr>
      <w:r w:rsidRPr="008820ED">
        <w:rPr>
          <w:sz w:val="22"/>
          <w:szCs w:val="22"/>
        </w:rPr>
        <w:t xml:space="preserve">This section sets out how, guided by assemblage theory, the data for the study were generated and </w:t>
      </w:r>
      <w:proofErr w:type="spellStart"/>
      <w:r w:rsidRPr="008820ED">
        <w:rPr>
          <w:sz w:val="22"/>
          <w:szCs w:val="22"/>
        </w:rPr>
        <w:t>analysed</w:t>
      </w:r>
      <w:proofErr w:type="spellEnd"/>
      <w:r w:rsidRPr="008820ED">
        <w:rPr>
          <w:sz w:val="22"/>
          <w:szCs w:val="22"/>
        </w:rPr>
        <w:t>. Details of the three core elements of choosing the case study method, the selection of the five cities, and identification of specific properties are presented in the first section. Subsequently, the methods of data collection and analysis are given in the second section.</w:t>
      </w:r>
    </w:p>
    <w:p w14:paraId="1CC66EBC" w14:textId="77777777" w:rsidR="008820ED" w:rsidRPr="008820ED" w:rsidRDefault="008820ED" w:rsidP="008820ED">
      <w:pPr>
        <w:tabs>
          <w:tab w:val="left" w:pos="1134"/>
        </w:tabs>
        <w:jc w:val="both"/>
        <w:rPr>
          <w:iCs/>
          <w:sz w:val="22"/>
          <w:szCs w:val="22"/>
        </w:rPr>
      </w:pPr>
    </w:p>
    <w:p w14:paraId="0392E3A3" w14:textId="77777777" w:rsidR="008820ED" w:rsidRPr="008820ED" w:rsidRDefault="008820ED" w:rsidP="008820ED">
      <w:pPr>
        <w:tabs>
          <w:tab w:val="left" w:pos="1134"/>
        </w:tabs>
        <w:jc w:val="both"/>
        <w:rPr>
          <w:b/>
          <w:iCs/>
          <w:sz w:val="22"/>
          <w:szCs w:val="22"/>
        </w:rPr>
      </w:pPr>
      <w:r w:rsidRPr="008820ED">
        <w:rPr>
          <w:b/>
          <w:iCs/>
          <w:sz w:val="22"/>
          <w:szCs w:val="22"/>
        </w:rPr>
        <w:t>3.1 Methods</w:t>
      </w:r>
    </w:p>
    <w:p w14:paraId="3533A6AD" w14:textId="77777777" w:rsidR="008820ED" w:rsidRPr="008820ED" w:rsidRDefault="008820ED" w:rsidP="008820ED">
      <w:pPr>
        <w:tabs>
          <w:tab w:val="left" w:pos="1134"/>
        </w:tabs>
        <w:jc w:val="both"/>
        <w:rPr>
          <w:b/>
          <w:iCs/>
          <w:sz w:val="22"/>
          <w:szCs w:val="22"/>
        </w:rPr>
      </w:pPr>
      <w:r w:rsidRPr="008820ED">
        <w:rPr>
          <w:b/>
          <w:iCs/>
          <w:sz w:val="22"/>
          <w:szCs w:val="22"/>
        </w:rPr>
        <w:t xml:space="preserve">3.1.1 </w:t>
      </w:r>
      <w:r w:rsidRPr="008820ED">
        <w:rPr>
          <w:b/>
          <w:sz w:val="22"/>
          <w:szCs w:val="22"/>
        </w:rPr>
        <w:t>Case study approach</w:t>
      </w:r>
    </w:p>
    <w:p w14:paraId="198E191C" w14:textId="77777777" w:rsidR="008820ED" w:rsidRPr="008820ED" w:rsidRDefault="008820ED" w:rsidP="008820ED">
      <w:pPr>
        <w:tabs>
          <w:tab w:val="left" w:pos="1134"/>
        </w:tabs>
        <w:jc w:val="both"/>
        <w:rPr>
          <w:i/>
          <w:sz w:val="22"/>
          <w:szCs w:val="22"/>
        </w:rPr>
      </w:pPr>
    </w:p>
    <w:p w14:paraId="7B660DFA" w14:textId="77777777" w:rsidR="008820ED" w:rsidRPr="008820ED" w:rsidRDefault="008820ED" w:rsidP="008820ED">
      <w:pPr>
        <w:tabs>
          <w:tab w:val="left" w:pos="1134"/>
        </w:tabs>
        <w:jc w:val="both"/>
        <w:rPr>
          <w:sz w:val="22"/>
          <w:szCs w:val="22"/>
        </w:rPr>
      </w:pPr>
      <w:r w:rsidRPr="008820ED">
        <w:rPr>
          <w:sz w:val="22"/>
          <w:szCs w:val="22"/>
        </w:rPr>
        <w:t xml:space="preserve">To achieve the aim of better understanding the making of resilient and adaptive city </w:t>
      </w:r>
      <w:proofErr w:type="spellStart"/>
      <w:r w:rsidRPr="008820ED">
        <w:rPr>
          <w:sz w:val="22"/>
          <w:szCs w:val="22"/>
        </w:rPr>
        <w:t>centre</w:t>
      </w:r>
      <w:proofErr w:type="spellEnd"/>
      <w:r w:rsidRPr="008820ED">
        <w:rPr>
          <w:sz w:val="22"/>
          <w:szCs w:val="22"/>
        </w:rPr>
        <w:t xml:space="preserve"> spaces, with a specific focus on the ways key actors interact with the built fabric/material characteristics of city </w:t>
      </w:r>
      <w:proofErr w:type="spellStart"/>
      <w:r w:rsidRPr="008820ED">
        <w:rPr>
          <w:sz w:val="22"/>
          <w:szCs w:val="22"/>
        </w:rPr>
        <w:t>centre</w:t>
      </w:r>
      <w:proofErr w:type="spellEnd"/>
      <w:r w:rsidRPr="008820ED">
        <w:rPr>
          <w:sz w:val="22"/>
          <w:szCs w:val="22"/>
        </w:rPr>
        <w:t xml:space="preserve"> real estate, an in-depth qualitative method is essential. A case study approach is particularly useful as it enables a </w:t>
      </w:r>
      <w:r w:rsidRPr="008820ED">
        <w:rPr>
          <w:sz w:val="22"/>
          <w:szCs w:val="22"/>
        </w:rPr>
        <w:lastRenderedPageBreak/>
        <w:t xml:space="preserve">full picture of the specific object of inquiry to be built up, while fully acknowledging the importance of its context, in this instance the wider city </w:t>
      </w:r>
      <w:proofErr w:type="spellStart"/>
      <w:r w:rsidRPr="008820ED">
        <w:rPr>
          <w:sz w:val="22"/>
          <w:szCs w:val="22"/>
        </w:rPr>
        <w:t>centre</w:t>
      </w:r>
      <w:proofErr w:type="spellEnd"/>
      <w:r w:rsidRPr="008820ED">
        <w:rPr>
          <w:sz w:val="22"/>
          <w:szCs w:val="22"/>
        </w:rPr>
        <w:t>. Importantly, c</w:t>
      </w:r>
      <w:r w:rsidRPr="008820ED">
        <w:rPr>
          <w:iCs/>
          <w:sz w:val="22"/>
          <w:szCs w:val="22"/>
        </w:rPr>
        <w:t xml:space="preserve">ase studies are regarded as the best strategy when the research focuses on a contemporary </w:t>
      </w:r>
      <w:bookmarkStart w:id="66" w:name="_Hlk78368151"/>
      <w:r w:rsidRPr="008820ED">
        <w:rPr>
          <w:iCs/>
          <w:sz w:val="22"/>
          <w:szCs w:val="22"/>
        </w:rPr>
        <w:t>phenomenon</w:t>
      </w:r>
      <w:bookmarkEnd w:id="66"/>
      <w:r w:rsidRPr="008820ED">
        <w:rPr>
          <w:iCs/>
          <w:sz w:val="22"/>
          <w:szCs w:val="22"/>
        </w:rPr>
        <w:t xml:space="preserve"> within a real-life context, when the researcher has little/no control over events and when ‘how’ or ‘why’ questions are being asked (Yin, 2003). </w:t>
      </w:r>
      <w:r w:rsidRPr="008820ED">
        <w:rPr>
          <w:sz w:val="22"/>
          <w:szCs w:val="22"/>
        </w:rPr>
        <w:t>A further</w:t>
      </w:r>
      <w:r w:rsidRPr="008820ED">
        <w:rPr>
          <w:iCs/>
          <w:sz w:val="22"/>
          <w:szCs w:val="22"/>
        </w:rPr>
        <w:t xml:space="preserve"> appeal is that a case study allows researchers to gain a close and detailed view of a phenomenon and study directly the processes that lead to change (Blaikie, 2010). This is especially pertinent as assemblage thinking that guides the study embraces the processual nature of change. </w:t>
      </w:r>
      <w:r w:rsidRPr="008820ED">
        <w:rPr>
          <w:sz w:val="22"/>
          <w:szCs w:val="22"/>
        </w:rPr>
        <w:t>It is important that the findings have relevance beyond a single case study and, thus, given the unique and heterogeneous characteristics of real estate, five case studies are used to reduce specificity and possible lack of replicability.</w:t>
      </w:r>
    </w:p>
    <w:p w14:paraId="1533229D" w14:textId="77777777" w:rsidR="008820ED" w:rsidRPr="008820ED" w:rsidRDefault="008820ED" w:rsidP="008820ED">
      <w:pPr>
        <w:tabs>
          <w:tab w:val="left" w:pos="1134"/>
        </w:tabs>
        <w:jc w:val="both"/>
        <w:rPr>
          <w:sz w:val="22"/>
          <w:szCs w:val="22"/>
        </w:rPr>
      </w:pPr>
    </w:p>
    <w:p w14:paraId="65C39F00" w14:textId="77777777" w:rsidR="008820ED" w:rsidRPr="008820ED" w:rsidRDefault="008820ED" w:rsidP="008820ED">
      <w:pPr>
        <w:tabs>
          <w:tab w:val="left" w:pos="1134"/>
        </w:tabs>
        <w:jc w:val="both"/>
        <w:rPr>
          <w:sz w:val="22"/>
          <w:szCs w:val="22"/>
        </w:rPr>
      </w:pPr>
      <w:r w:rsidRPr="008820ED">
        <w:rPr>
          <w:sz w:val="22"/>
          <w:szCs w:val="22"/>
        </w:rPr>
        <w:t xml:space="preserve">A case study approach is also about connecting with theory; this study involves analysis against a carefully considered assemblage theoretical framework, developed to guide date collection and analysis (following Blaikie, 2010; De Vaus, 2001; Yin, 2003). Thus, it is intended that the findings will have relevance beyond each research site, by making theoretical </w:t>
      </w:r>
      <w:proofErr w:type="spellStart"/>
      <w:r w:rsidRPr="008820ED">
        <w:rPr>
          <w:sz w:val="22"/>
          <w:szCs w:val="22"/>
        </w:rPr>
        <w:t>generalisations</w:t>
      </w:r>
      <w:proofErr w:type="spellEnd"/>
      <w:r w:rsidRPr="008820ED">
        <w:rPr>
          <w:sz w:val="22"/>
          <w:szCs w:val="22"/>
        </w:rPr>
        <w:t xml:space="preserve">: </w:t>
      </w:r>
      <w:proofErr w:type="spellStart"/>
      <w:r w:rsidRPr="008820ED">
        <w:rPr>
          <w:sz w:val="22"/>
          <w:szCs w:val="22"/>
        </w:rPr>
        <w:t>generalising</w:t>
      </w:r>
      <w:proofErr w:type="spellEnd"/>
      <w:r w:rsidRPr="008820ED">
        <w:rPr>
          <w:sz w:val="22"/>
          <w:szCs w:val="22"/>
        </w:rPr>
        <w:t xml:space="preserve"> from a study to a theory (De Vaus, 2001; Blaikie, 2010; Bryman, 2016; Groat and Wang, 2002).</w:t>
      </w:r>
    </w:p>
    <w:p w14:paraId="1CB7A529" w14:textId="77777777" w:rsidR="008820ED" w:rsidRPr="008820ED" w:rsidRDefault="008820ED" w:rsidP="008820ED">
      <w:pPr>
        <w:tabs>
          <w:tab w:val="left" w:pos="1134"/>
        </w:tabs>
        <w:jc w:val="both"/>
        <w:rPr>
          <w:sz w:val="22"/>
          <w:szCs w:val="22"/>
        </w:rPr>
      </w:pPr>
    </w:p>
    <w:p w14:paraId="4C47C76C" w14:textId="77777777" w:rsidR="008820ED" w:rsidRPr="008820ED" w:rsidRDefault="008820ED" w:rsidP="008820ED">
      <w:pPr>
        <w:tabs>
          <w:tab w:val="left" w:pos="1134"/>
        </w:tabs>
        <w:jc w:val="both"/>
        <w:rPr>
          <w:b/>
          <w:sz w:val="22"/>
          <w:szCs w:val="22"/>
        </w:rPr>
      </w:pPr>
      <w:r w:rsidRPr="008820ED">
        <w:rPr>
          <w:b/>
          <w:sz w:val="22"/>
          <w:szCs w:val="22"/>
        </w:rPr>
        <w:t>3.1.2 Selecting the five cities</w:t>
      </w:r>
    </w:p>
    <w:p w14:paraId="78BA568B" w14:textId="77777777" w:rsidR="008820ED" w:rsidRPr="008820ED" w:rsidRDefault="008820ED" w:rsidP="008820ED">
      <w:pPr>
        <w:tabs>
          <w:tab w:val="left" w:pos="1134"/>
        </w:tabs>
        <w:jc w:val="both"/>
        <w:rPr>
          <w:sz w:val="22"/>
          <w:szCs w:val="22"/>
        </w:rPr>
      </w:pPr>
      <w:r w:rsidRPr="008820ED">
        <w:rPr>
          <w:sz w:val="22"/>
          <w:szCs w:val="22"/>
        </w:rPr>
        <w:t xml:space="preserve">This paper is part of a larger study that explores the adaptability of the real estate market in five major UK retailing </w:t>
      </w:r>
      <w:proofErr w:type="spellStart"/>
      <w:r w:rsidRPr="008820ED">
        <w:rPr>
          <w:sz w:val="22"/>
          <w:szCs w:val="22"/>
        </w:rPr>
        <w:t>centre</w:t>
      </w:r>
      <w:proofErr w:type="spellEnd"/>
      <w:r w:rsidRPr="008820ED">
        <w:rPr>
          <w:sz w:val="22"/>
          <w:szCs w:val="22"/>
        </w:rPr>
        <w:t xml:space="preserve"> case studies – Edinburgh, Glasgow, Hull, </w:t>
      </w:r>
      <w:proofErr w:type="gramStart"/>
      <w:r w:rsidRPr="008820ED">
        <w:rPr>
          <w:sz w:val="22"/>
          <w:szCs w:val="22"/>
        </w:rPr>
        <w:t>Liverpool</w:t>
      </w:r>
      <w:proofErr w:type="gramEnd"/>
      <w:r w:rsidRPr="008820ED">
        <w:rPr>
          <w:sz w:val="22"/>
          <w:szCs w:val="22"/>
        </w:rPr>
        <w:t xml:space="preserve"> and Nottingham – over the period 2000-17. These cities are all regional significant and classed as ‘northern’ in the UK. Controlling for broad geographical location in the sample is important, with Wrigley and </w:t>
      </w:r>
      <w:proofErr w:type="spellStart"/>
      <w:r w:rsidRPr="008820ED">
        <w:rPr>
          <w:sz w:val="22"/>
          <w:szCs w:val="22"/>
        </w:rPr>
        <w:t>Dolega</w:t>
      </w:r>
      <w:proofErr w:type="spellEnd"/>
      <w:r w:rsidRPr="008820ED">
        <w:rPr>
          <w:sz w:val="22"/>
          <w:szCs w:val="22"/>
        </w:rPr>
        <w:t xml:space="preserve"> (2011) finding north-south economic imbalances to be influential on the resilience of retailing </w:t>
      </w:r>
      <w:proofErr w:type="spellStart"/>
      <w:r w:rsidRPr="008820ED">
        <w:rPr>
          <w:sz w:val="22"/>
          <w:szCs w:val="22"/>
        </w:rPr>
        <w:t>centres</w:t>
      </w:r>
      <w:proofErr w:type="spellEnd"/>
      <w:r w:rsidRPr="008820ED">
        <w:rPr>
          <w:sz w:val="22"/>
          <w:szCs w:val="22"/>
        </w:rPr>
        <w:t xml:space="preserve">. The cities are, however, diverse in many aspects, and are specifically selected to reflect the hugely distinct and nuanced characteristics of city </w:t>
      </w:r>
      <w:proofErr w:type="spellStart"/>
      <w:r w:rsidRPr="008820ED">
        <w:rPr>
          <w:sz w:val="22"/>
          <w:szCs w:val="22"/>
        </w:rPr>
        <w:t>centres</w:t>
      </w:r>
      <w:proofErr w:type="spellEnd"/>
      <w:r w:rsidRPr="008820ED">
        <w:rPr>
          <w:sz w:val="22"/>
          <w:szCs w:val="22"/>
        </w:rPr>
        <w:t xml:space="preserve">. Differences relate to economic structures, identified to impact on processes of renewal (Reynolds and Schiller, 1992; Harper Dennis Hobbs, 2016). </w:t>
      </w:r>
      <w:proofErr w:type="gramStart"/>
      <w:r w:rsidRPr="008820ED">
        <w:rPr>
          <w:sz w:val="22"/>
          <w:szCs w:val="22"/>
        </w:rPr>
        <w:t>A number of</w:t>
      </w:r>
      <w:proofErr w:type="gramEnd"/>
      <w:r w:rsidRPr="008820ED">
        <w:rPr>
          <w:sz w:val="22"/>
          <w:szCs w:val="22"/>
        </w:rPr>
        <w:t xml:space="preserve"> rankings and indices were </w:t>
      </w:r>
      <w:proofErr w:type="spellStart"/>
      <w:r w:rsidRPr="008820ED">
        <w:rPr>
          <w:sz w:val="22"/>
          <w:szCs w:val="22"/>
        </w:rPr>
        <w:t>analysed</w:t>
      </w:r>
      <w:proofErr w:type="spellEnd"/>
      <w:r w:rsidRPr="008820ED">
        <w:rPr>
          <w:sz w:val="22"/>
          <w:szCs w:val="22"/>
        </w:rPr>
        <w:t xml:space="preserve"> to explore the underlying characteristics of the sample, revealing the complexities of city </w:t>
      </w:r>
      <w:proofErr w:type="spellStart"/>
      <w:r w:rsidRPr="008820ED">
        <w:rPr>
          <w:sz w:val="22"/>
          <w:szCs w:val="22"/>
        </w:rPr>
        <w:t>centres</w:t>
      </w:r>
      <w:proofErr w:type="spellEnd"/>
      <w:r w:rsidRPr="008820ED">
        <w:rPr>
          <w:sz w:val="22"/>
          <w:szCs w:val="22"/>
        </w:rPr>
        <w:t xml:space="preserve">. Based on Knight Frank (2017, with additional data supplied to the project), factors considered, and findings revealed, included that Edinburgh is much better placed than any other city in terms of population growth and affluence, as well as expenditure growth. This perhaps reflects its position as a capital city, attracting an international clientele. However, its supply is significantly physically constrained and thus more susceptible to competition. For Hull, while it is in line with the rest of the sample in terms of catchment, expenditure (apart from tourism) and competition, alongside quite high rankings for retail provision and resilience, it has low scores for rental growth and investment demand. These contrasting factors reflect market complexities, and suggest that there might be too much supply, with an insufficient mix of retail and leisure provision, for a </w:t>
      </w:r>
      <w:proofErr w:type="spellStart"/>
      <w:r w:rsidRPr="008820ED">
        <w:rPr>
          <w:sz w:val="22"/>
          <w:szCs w:val="22"/>
        </w:rPr>
        <w:t>centre</w:t>
      </w:r>
      <w:proofErr w:type="spellEnd"/>
      <w:r w:rsidRPr="008820ED">
        <w:rPr>
          <w:sz w:val="22"/>
          <w:szCs w:val="22"/>
        </w:rPr>
        <w:t xml:space="preserve"> with such a low score for affluence. These examples serve to highlight the heterogeneous nature of city </w:t>
      </w:r>
      <w:proofErr w:type="spellStart"/>
      <w:r w:rsidRPr="008820ED">
        <w:rPr>
          <w:sz w:val="22"/>
          <w:szCs w:val="22"/>
        </w:rPr>
        <w:t>centres</w:t>
      </w:r>
      <w:proofErr w:type="spellEnd"/>
      <w:r w:rsidRPr="008820ED">
        <w:rPr>
          <w:sz w:val="22"/>
          <w:szCs w:val="22"/>
        </w:rPr>
        <w:t>.</w:t>
      </w:r>
    </w:p>
    <w:p w14:paraId="1F970A4F" w14:textId="77777777" w:rsidR="008820ED" w:rsidRPr="008820ED" w:rsidRDefault="008820ED" w:rsidP="008820ED">
      <w:pPr>
        <w:tabs>
          <w:tab w:val="left" w:pos="1134"/>
        </w:tabs>
        <w:jc w:val="both"/>
        <w:rPr>
          <w:sz w:val="22"/>
          <w:szCs w:val="22"/>
        </w:rPr>
      </w:pPr>
    </w:p>
    <w:p w14:paraId="00733D43" w14:textId="77777777" w:rsidR="008820ED" w:rsidRPr="008820ED" w:rsidRDefault="008820ED" w:rsidP="008820ED">
      <w:pPr>
        <w:tabs>
          <w:tab w:val="left" w:pos="1134"/>
        </w:tabs>
        <w:jc w:val="both"/>
        <w:rPr>
          <w:sz w:val="22"/>
          <w:szCs w:val="22"/>
        </w:rPr>
      </w:pPr>
      <w:r w:rsidRPr="008820ED">
        <w:rPr>
          <w:sz w:val="22"/>
          <w:szCs w:val="22"/>
        </w:rPr>
        <w:t xml:space="preserve">Observed differences and changes can be identified in the four decades immediately prior to the study period, providing further contextual details. Collating the Multiple Branch Scores (a key metric originally developed by Schiller and Jarrett (1985) and available for 1961, 1971, 1984, 1989 and 1995, used to identify comparative standing) over that period reveals variety across the sample. Glasgow had high and consistent growth (increases of around 30-40% between each census period), while Edinburgh was much slower to grow initially (a growth rate of just over 10%), before then matching Glasgow. Despite the MBS scores for both </w:t>
      </w:r>
      <w:proofErr w:type="spellStart"/>
      <w:r w:rsidRPr="008820ED">
        <w:rPr>
          <w:sz w:val="22"/>
          <w:szCs w:val="22"/>
        </w:rPr>
        <w:t>centres</w:t>
      </w:r>
      <w:proofErr w:type="spellEnd"/>
      <w:r w:rsidRPr="008820ED">
        <w:rPr>
          <w:sz w:val="22"/>
          <w:szCs w:val="22"/>
        </w:rPr>
        <w:t xml:space="preserve"> growing by over 30% from 1989 to 1995, their rankings within the UK did not change, revealing the UK-wide expansion of central retail space. Liverpool, </w:t>
      </w:r>
      <w:proofErr w:type="gramStart"/>
      <w:r w:rsidRPr="008820ED">
        <w:rPr>
          <w:sz w:val="22"/>
          <w:szCs w:val="22"/>
        </w:rPr>
        <w:t>Nottingham</w:t>
      </w:r>
      <w:proofErr w:type="gramEnd"/>
      <w:r w:rsidRPr="008820ED">
        <w:rPr>
          <w:sz w:val="22"/>
          <w:szCs w:val="22"/>
        </w:rPr>
        <w:t xml:space="preserve"> and Hull had contrasting fortunes. Liverpool fell significantly in the rankings (from 3 to 17); Nottingham fluctuated but, overall, rose </w:t>
      </w:r>
      <w:proofErr w:type="gramStart"/>
      <w:r w:rsidRPr="008820ED">
        <w:rPr>
          <w:sz w:val="22"/>
          <w:szCs w:val="22"/>
        </w:rPr>
        <w:t>fairly steadily</w:t>
      </w:r>
      <w:proofErr w:type="gramEnd"/>
      <w:r w:rsidRPr="008820ED">
        <w:rPr>
          <w:sz w:val="22"/>
          <w:szCs w:val="22"/>
        </w:rPr>
        <w:t xml:space="preserve"> (from 12 in 1971 to 6); while Hull had the most dramatic change, falling from a ranking of 13 in 1961 to 33 in 1989, then rising equally dramatically and very quickly to 10 in 1995. In terms of changes to stock, the MBS for Hull and Nottingham increased by just over 10% over 1984-89, mirroring Edinburgh. Over the 1989-95 period, the growth seen in Liverpool and Nottingham matched Glasgow and Edinburgh; while the MBS for Hull, by contrast, grew 188%, from 57 to 107, higher than for any of the other cities. Alongside the underlying economic and market characteristics driving these differences and changes, the MBS data reveal just how ‘lumpy’ and unstable the stock of property can be in individual cities, a function of new developments, causing market shifts and shocks.</w:t>
      </w:r>
    </w:p>
    <w:p w14:paraId="6001EE88" w14:textId="77777777" w:rsidR="008820ED" w:rsidRPr="008820ED" w:rsidRDefault="008820ED" w:rsidP="008820ED">
      <w:pPr>
        <w:tabs>
          <w:tab w:val="left" w:pos="1134"/>
        </w:tabs>
        <w:jc w:val="both"/>
        <w:rPr>
          <w:sz w:val="22"/>
          <w:szCs w:val="22"/>
        </w:rPr>
      </w:pPr>
    </w:p>
    <w:p w14:paraId="4528C447" w14:textId="77777777" w:rsidR="008820ED" w:rsidRPr="008820ED" w:rsidRDefault="008820ED" w:rsidP="008820ED">
      <w:pPr>
        <w:tabs>
          <w:tab w:val="left" w:pos="1134"/>
        </w:tabs>
        <w:jc w:val="both"/>
        <w:rPr>
          <w:b/>
          <w:sz w:val="22"/>
          <w:szCs w:val="22"/>
        </w:rPr>
      </w:pPr>
      <w:r w:rsidRPr="008820ED">
        <w:rPr>
          <w:b/>
          <w:sz w:val="22"/>
          <w:szCs w:val="22"/>
        </w:rPr>
        <w:t>3.1.3 Identifying the specific properties</w:t>
      </w:r>
    </w:p>
    <w:p w14:paraId="47FEBA2C" w14:textId="77777777" w:rsidR="008820ED" w:rsidRPr="008820ED" w:rsidRDefault="008820ED" w:rsidP="008820ED">
      <w:pPr>
        <w:autoSpaceDE w:val="0"/>
        <w:autoSpaceDN w:val="0"/>
        <w:adjustRightInd w:val="0"/>
        <w:jc w:val="both"/>
        <w:rPr>
          <w:bCs/>
          <w:sz w:val="22"/>
          <w:szCs w:val="22"/>
        </w:rPr>
      </w:pPr>
      <w:r w:rsidRPr="008820ED">
        <w:rPr>
          <w:bCs/>
          <w:sz w:val="22"/>
          <w:szCs w:val="22"/>
        </w:rPr>
        <w:t xml:space="preserve">To introduce the five city </w:t>
      </w:r>
      <w:proofErr w:type="spellStart"/>
      <w:r w:rsidRPr="008820ED">
        <w:rPr>
          <w:bCs/>
          <w:sz w:val="22"/>
          <w:szCs w:val="22"/>
        </w:rPr>
        <w:t>centre</w:t>
      </w:r>
      <w:proofErr w:type="spellEnd"/>
      <w:r w:rsidRPr="008820ED">
        <w:rPr>
          <w:bCs/>
          <w:sz w:val="22"/>
          <w:szCs w:val="22"/>
        </w:rPr>
        <w:t xml:space="preserve"> case studies, the sample comprises a partly vacated shopping mall, two former department stores, a functioning-but-contracting </w:t>
      </w:r>
      <w:proofErr w:type="gramStart"/>
      <w:r w:rsidRPr="008820ED">
        <w:rPr>
          <w:bCs/>
          <w:sz w:val="22"/>
          <w:szCs w:val="22"/>
        </w:rPr>
        <w:t>bank</w:t>
      </w:r>
      <w:proofErr w:type="gramEnd"/>
      <w:r w:rsidRPr="008820ED">
        <w:rPr>
          <w:bCs/>
          <w:sz w:val="22"/>
          <w:szCs w:val="22"/>
        </w:rPr>
        <w:t xml:space="preserve"> and a back-building development around a yard. The </w:t>
      </w:r>
      <w:r w:rsidRPr="008820ED">
        <w:rPr>
          <w:bCs/>
          <w:sz w:val="22"/>
          <w:szCs w:val="22"/>
        </w:rPr>
        <w:lastRenderedPageBreak/>
        <w:t xml:space="preserve">latter property had stood empty, long term, before it was repurposed. In contrast, the established functions at the other four properties had only contracted or ceased in the recent past. At four properties, repurposing works had followed a change in ownership, while at one property, a long-standing tenant made the decision to invest in repurposing their space, partly influenced by the landlord’s renovation works to the overall building. All case study properties were selected because they are in designated ‘primary shopping </w:t>
      </w:r>
      <w:proofErr w:type="gramStart"/>
      <w:r w:rsidRPr="008820ED">
        <w:rPr>
          <w:bCs/>
          <w:sz w:val="22"/>
          <w:szCs w:val="22"/>
        </w:rPr>
        <w:t>areas’</w:t>
      </w:r>
      <w:proofErr w:type="gramEnd"/>
      <w:r w:rsidRPr="008820ED">
        <w:rPr>
          <w:bCs/>
          <w:sz w:val="22"/>
          <w:szCs w:val="22"/>
        </w:rPr>
        <w:t xml:space="preserve">. Coincidentally they are all in conservation areas, and four have a footprint entirely taken-up by constructed space (that is, no open space). In both instances, this would often be the case with city </w:t>
      </w:r>
      <w:proofErr w:type="spellStart"/>
      <w:r w:rsidRPr="008820ED">
        <w:rPr>
          <w:bCs/>
          <w:sz w:val="22"/>
          <w:szCs w:val="22"/>
        </w:rPr>
        <w:t>centre</w:t>
      </w:r>
      <w:proofErr w:type="spellEnd"/>
      <w:r w:rsidRPr="008820ED">
        <w:rPr>
          <w:bCs/>
          <w:sz w:val="22"/>
          <w:szCs w:val="22"/>
        </w:rPr>
        <w:t xml:space="preserve"> locations.</w:t>
      </w:r>
    </w:p>
    <w:p w14:paraId="123916C9" w14:textId="77777777" w:rsidR="008820ED" w:rsidRPr="008820ED" w:rsidRDefault="008820ED" w:rsidP="008820ED">
      <w:pPr>
        <w:jc w:val="both"/>
        <w:rPr>
          <w:sz w:val="22"/>
          <w:szCs w:val="22"/>
        </w:rPr>
      </w:pPr>
    </w:p>
    <w:p w14:paraId="332BC69B" w14:textId="77777777" w:rsidR="008820ED" w:rsidRPr="008820ED" w:rsidRDefault="008820ED" w:rsidP="008820ED">
      <w:pPr>
        <w:jc w:val="both"/>
        <w:rPr>
          <w:b/>
          <w:sz w:val="22"/>
          <w:szCs w:val="22"/>
        </w:rPr>
      </w:pPr>
      <w:bookmarkStart w:id="67" w:name="_Hlk78372612"/>
      <w:bookmarkStart w:id="68" w:name="_Hlk78383403"/>
      <w:r w:rsidRPr="008820ED">
        <w:rPr>
          <w:b/>
          <w:sz w:val="22"/>
          <w:szCs w:val="22"/>
        </w:rPr>
        <w:t>3.2</w:t>
      </w:r>
      <w:r w:rsidRPr="008820ED">
        <w:rPr>
          <w:b/>
          <w:sz w:val="22"/>
          <w:szCs w:val="22"/>
        </w:rPr>
        <w:tab/>
        <w:t>Data</w:t>
      </w:r>
    </w:p>
    <w:p w14:paraId="316EFAE1" w14:textId="77777777" w:rsidR="008820ED" w:rsidRPr="008820ED" w:rsidRDefault="008820ED" w:rsidP="008820ED">
      <w:pPr>
        <w:jc w:val="both"/>
        <w:rPr>
          <w:b/>
          <w:sz w:val="22"/>
          <w:szCs w:val="22"/>
        </w:rPr>
      </w:pPr>
      <w:r w:rsidRPr="008820ED">
        <w:rPr>
          <w:b/>
          <w:sz w:val="22"/>
          <w:szCs w:val="22"/>
        </w:rPr>
        <w:t>3.2.1</w:t>
      </w:r>
      <w:r w:rsidRPr="008820ED">
        <w:rPr>
          <w:b/>
          <w:sz w:val="22"/>
          <w:szCs w:val="22"/>
        </w:rPr>
        <w:tab/>
        <w:t>Data Collection</w:t>
      </w:r>
    </w:p>
    <w:p w14:paraId="099B6A06" w14:textId="77777777" w:rsidR="008820ED" w:rsidRPr="008820ED" w:rsidRDefault="008820ED" w:rsidP="008820ED">
      <w:pPr>
        <w:jc w:val="both"/>
        <w:rPr>
          <w:iCs/>
          <w:sz w:val="22"/>
          <w:szCs w:val="22"/>
        </w:rPr>
      </w:pPr>
      <w:r w:rsidRPr="008820ED">
        <w:rPr>
          <w:sz w:val="22"/>
          <w:szCs w:val="22"/>
        </w:rPr>
        <w:t>Semi-structured</w:t>
      </w:r>
      <w:r w:rsidRPr="008820ED">
        <w:rPr>
          <w:i/>
          <w:sz w:val="22"/>
          <w:szCs w:val="22"/>
        </w:rPr>
        <w:t xml:space="preserve"> </w:t>
      </w:r>
      <w:bookmarkEnd w:id="67"/>
      <w:r w:rsidRPr="008820ED">
        <w:rPr>
          <w:sz w:val="22"/>
          <w:szCs w:val="22"/>
        </w:rPr>
        <w:t>interviews formed the study’s core primary data collection method</w:t>
      </w:r>
      <w:bookmarkEnd w:id="68"/>
      <w:r w:rsidRPr="008820ED">
        <w:rPr>
          <w:sz w:val="22"/>
          <w:szCs w:val="22"/>
        </w:rPr>
        <w:t xml:space="preserve">, selected </w:t>
      </w:r>
      <w:r w:rsidRPr="008820ED">
        <w:rPr>
          <w:iCs/>
          <w:sz w:val="22"/>
          <w:szCs w:val="22"/>
        </w:rPr>
        <w:t xml:space="preserve">to enable the exploration of the complex repurposing </w:t>
      </w:r>
      <w:proofErr w:type="gramStart"/>
      <w:r w:rsidRPr="008820ED">
        <w:rPr>
          <w:iCs/>
          <w:sz w:val="22"/>
          <w:szCs w:val="22"/>
        </w:rPr>
        <w:t>process</w:t>
      </w:r>
      <w:proofErr w:type="gramEnd"/>
      <w:r w:rsidRPr="008820ED">
        <w:rPr>
          <w:iCs/>
          <w:sz w:val="22"/>
          <w:szCs w:val="22"/>
        </w:rPr>
        <w:t xml:space="preserve"> and reveal subtle and intricate details (following Denscombe, 1998). This method enabled in-depth exploration of the core elements of assemblage theory, through the case study properties. Thus, there was a clear list of issues to be explored, with the semi-structured format permitting open-ended answers and space for participants to elaborate on points of interest, enabling</w:t>
      </w:r>
      <w:r w:rsidRPr="008820ED">
        <w:rPr>
          <w:sz w:val="22"/>
          <w:szCs w:val="22"/>
        </w:rPr>
        <w:t xml:space="preserve"> emerging themes to surface </w:t>
      </w:r>
      <w:r w:rsidRPr="008820ED">
        <w:rPr>
          <w:iCs/>
          <w:sz w:val="22"/>
          <w:szCs w:val="22"/>
        </w:rPr>
        <w:t>(Denscombe, 1998).</w:t>
      </w:r>
      <w:bookmarkStart w:id="69" w:name="_Hlk78372879"/>
      <w:r w:rsidRPr="008820ED">
        <w:rPr>
          <w:sz w:val="22"/>
          <w:szCs w:val="22"/>
        </w:rPr>
        <w:t xml:space="preserve"> To reinforce the anchoring of the study in assemblage theory, a ‘headings matrix’ was employed to ensure each element of assemblage thinking was appropriately covered.</w:t>
      </w:r>
      <w:bookmarkEnd w:id="69"/>
    </w:p>
    <w:p w14:paraId="2A3F2B51" w14:textId="77777777" w:rsidR="008820ED" w:rsidRPr="008820ED" w:rsidRDefault="008820ED" w:rsidP="008820ED">
      <w:pPr>
        <w:jc w:val="both"/>
        <w:rPr>
          <w:iCs/>
          <w:sz w:val="22"/>
          <w:szCs w:val="22"/>
        </w:rPr>
      </w:pPr>
    </w:p>
    <w:p w14:paraId="546D92AC" w14:textId="77777777" w:rsidR="008820ED" w:rsidRPr="008820ED" w:rsidRDefault="008820ED" w:rsidP="008820ED">
      <w:pPr>
        <w:jc w:val="both"/>
        <w:rPr>
          <w:sz w:val="22"/>
          <w:szCs w:val="22"/>
        </w:rPr>
      </w:pPr>
      <w:bookmarkStart w:id="70" w:name="_Hlk78380412"/>
      <w:r w:rsidRPr="008820ED">
        <w:rPr>
          <w:bCs/>
          <w:sz w:val="22"/>
          <w:szCs w:val="22"/>
        </w:rPr>
        <w:t xml:space="preserve">The </w:t>
      </w:r>
      <w:r w:rsidRPr="008820ED">
        <w:rPr>
          <w:sz w:val="22"/>
          <w:szCs w:val="22"/>
        </w:rPr>
        <w:t xml:space="preserve">sampling strategy </w:t>
      </w:r>
      <w:r w:rsidRPr="008820ED">
        <w:rPr>
          <w:bCs/>
          <w:sz w:val="22"/>
          <w:szCs w:val="22"/>
        </w:rPr>
        <w:t xml:space="preserve">was to target all relevant professional stakeholder groups, spanning </w:t>
      </w:r>
      <w:r w:rsidRPr="008820ED">
        <w:rPr>
          <w:rStyle w:val="mtxt"/>
          <w:sz w:val="22"/>
          <w:szCs w:val="22"/>
          <w:shd w:val="clear" w:color="auto" w:fill="FFFFFF"/>
        </w:rPr>
        <w:t xml:space="preserve">building owners, occupiers and/or their respective agents; planning representatives (including public sector, private sector agents and wider city economic development roles); and those with city </w:t>
      </w:r>
      <w:proofErr w:type="spellStart"/>
      <w:r w:rsidRPr="008820ED">
        <w:rPr>
          <w:rStyle w:val="mtxt"/>
          <w:sz w:val="22"/>
          <w:szCs w:val="22"/>
          <w:shd w:val="clear" w:color="auto" w:fill="FFFFFF"/>
        </w:rPr>
        <w:t>centre</w:t>
      </w:r>
      <w:proofErr w:type="spellEnd"/>
      <w:r w:rsidRPr="008820ED">
        <w:rPr>
          <w:rStyle w:val="mtxt"/>
          <w:sz w:val="22"/>
          <w:szCs w:val="22"/>
          <w:shd w:val="clear" w:color="auto" w:fill="FFFFFF"/>
        </w:rPr>
        <w:t xml:space="preserve"> management roles. In total 24 interviewees took part in the </w:t>
      </w:r>
      <w:r w:rsidRPr="008820ED">
        <w:rPr>
          <w:iCs/>
          <w:sz w:val="22"/>
          <w:szCs w:val="22"/>
        </w:rPr>
        <w:t>one-to-one interviews, with – due to the Covid-19 lockdowns – participation either via online video call or over the telephone. They took place April-August 2021, each lasting around 45-90 minutes, depending on the interviewee, providing highly in-depth data.</w:t>
      </w:r>
      <w:bookmarkEnd w:id="70"/>
    </w:p>
    <w:p w14:paraId="0AA0BEEF" w14:textId="77777777" w:rsidR="008820ED" w:rsidRPr="008820ED" w:rsidRDefault="008820ED" w:rsidP="008820ED">
      <w:pPr>
        <w:jc w:val="both"/>
        <w:rPr>
          <w:sz w:val="22"/>
          <w:szCs w:val="22"/>
        </w:rPr>
      </w:pPr>
    </w:p>
    <w:p w14:paraId="53C98042" w14:textId="77777777" w:rsidR="008820ED" w:rsidRPr="008820ED" w:rsidRDefault="008820ED" w:rsidP="008820ED">
      <w:pPr>
        <w:jc w:val="both"/>
        <w:rPr>
          <w:b/>
          <w:sz w:val="22"/>
          <w:szCs w:val="22"/>
        </w:rPr>
      </w:pPr>
      <w:r w:rsidRPr="008820ED">
        <w:rPr>
          <w:b/>
          <w:sz w:val="22"/>
          <w:szCs w:val="22"/>
        </w:rPr>
        <w:t>3.2.2</w:t>
      </w:r>
      <w:r w:rsidRPr="008820ED">
        <w:rPr>
          <w:b/>
          <w:sz w:val="22"/>
          <w:szCs w:val="22"/>
        </w:rPr>
        <w:tab/>
        <w:t>Data analysis</w:t>
      </w:r>
    </w:p>
    <w:p w14:paraId="744A4EF9" w14:textId="77777777" w:rsidR="008820ED" w:rsidRPr="008820ED" w:rsidRDefault="008820ED" w:rsidP="008820ED">
      <w:pPr>
        <w:jc w:val="both"/>
        <w:rPr>
          <w:bCs/>
          <w:sz w:val="22"/>
          <w:szCs w:val="22"/>
        </w:rPr>
      </w:pPr>
      <w:r w:rsidRPr="008820ED">
        <w:rPr>
          <w:sz w:val="22"/>
          <w:szCs w:val="22"/>
        </w:rPr>
        <w:t xml:space="preserve">All the interviews were professionally transcribed and subsequently checked by the interviewer. NVivo Pro 1.3 was the dominant means used for </w:t>
      </w:r>
      <w:proofErr w:type="spellStart"/>
      <w:r w:rsidRPr="008820ED">
        <w:rPr>
          <w:sz w:val="22"/>
          <w:szCs w:val="22"/>
        </w:rPr>
        <w:t>organising</w:t>
      </w:r>
      <w:proofErr w:type="spellEnd"/>
      <w:r w:rsidRPr="008820ED">
        <w:rPr>
          <w:sz w:val="22"/>
          <w:szCs w:val="22"/>
        </w:rPr>
        <w:t xml:space="preserve"> the data, with the raw data </w:t>
      </w:r>
      <w:r w:rsidRPr="008820ED">
        <w:rPr>
          <w:rStyle w:val="mtxt"/>
          <w:sz w:val="22"/>
          <w:szCs w:val="22"/>
          <w:shd w:val="clear" w:color="auto" w:fill="FFFFFF"/>
        </w:rPr>
        <w:t xml:space="preserve">explored to tease out codes and </w:t>
      </w:r>
      <w:r w:rsidRPr="008820ED">
        <w:rPr>
          <w:sz w:val="22"/>
          <w:szCs w:val="22"/>
        </w:rPr>
        <w:t xml:space="preserve">concepts, to develop a thematic coding framework. </w:t>
      </w:r>
      <w:r w:rsidRPr="008820ED">
        <w:rPr>
          <w:rStyle w:val="mtxt"/>
          <w:sz w:val="22"/>
          <w:szCs w:val="22"/>
          <w:shd w:val="clear" w:color="auto" w:fill="FFFFFF"/>
        </w:rPr>
        <w:t xml:space="preserve">A </w:t>
      </w:r>
      <w:r w:rsidRPr="008820ED">
        <w:rPr>
          <w:sz w:val="22"/>
          <w:szCs w:val="22"/>
        </w:rPr>
        <w:t xml:space="preserve">thematic coding framework is intended to take </w:t>
      </w:r>
      <w:r w:rsidRPr="008820ED">
        <w:rPr>
          <w:rStyle w:val="mtxt"/>
          <w:sz w:val="22"/>
          <w:szCs w:val="22"/>
          <w:shd w:val="clear" w:color="auto" w:fill="FFFFFF"/>
        </w:rPr>
        <w:t xml:space="preserve">large quantities of raw data </w:t>
      </w:r>
      <w:r w:rsidRPr="008820ED">
        <w:rPr>
          <w:sz w:val="22"/>
          <w:szCs w:val="22"/>
        </w:rPr>
        <w:t xml:space="preserve">and </w:t>
      </w:r>
      <w:proofErr w:type="spellStart"/>
      <w:r w:rsidRPr="008820ED">
        <w:rPr>
          <w:rStyle w:val="mtxt"/>
          <w:sz w:val="22"/>
          <w:szCs w:val="22"/>
          <w:shd w:val="clear" w:color="auto" w:fill="FFFFFF"/>
        </w:rPr>
        <w:t>organise</w:t>
      </w:r>
      <w:proofErr w:type="spellEnd"/>
      <w:r w:rsidRPr="008820ED">
        <w:rPr>
          <w:rStyle w:val="mtxt"/>
          <w:sz w:val="22"/>
          <w:szCs w:val="22"/>
          <w:shd w:val="clear" w:color="auto" w:fill="FFFFFF"/>
        </w:rPr>
        <w:t xml:space="preserve">, </w:t>
      </w:r>
      <w:proofErr w:type="gramStart"/>
      <w:r w:rsidRPr="008820ED">
        <w:rPr>
          <w:rStyle w:val="mtxt"/>
          <w:sz w:val="22"/>
          <w:szCs w:val="22"/>
          <w:shd w:val="clear" w:color="auto" w:fill="FFFFFF"/>
        </w:rPr>
        <w:t>sharpen</w:t>
      </w:r>
      <w:proofErr w:type="gramEnd"/>
      <w:r w:rsidRPr="008820ED">
        <w:rPr>
          <w:rStyle w:val="mtxt"/>
          <w:sz w:val="22"/>
          <w:szCs w:val="22"/>
          <w:shd w:val="clear" w:color="auto" w:fill="FFFFFF"/>
        </w:rPr>
        <w:t xml:space="preserve"> and discard it (Miles and Huberman, 1984). With assemblage thinking providing the theoretical framework for the research, the key elements of the theory being explored </w:t>
      </w:r>
      <w:r w:rsidRPr="008820ED">
        <w:rPr>
          <w:sz w:val="22"/>
          <w:szCs w:val="22"/>
        </w:rPr>
        <w:t xml:space="preserve">provide the structure – the scaffolding – for the thematic coding, with the </w:t>
      </w:r>
      <w:r w:rsidRPr="008820ED">
        <w:rPr>
          <w:rStyle w:val="mtxt"/>
          <w:sz w:val="22"/>
          <w:szCs w:val="22"/>
          <w:shd w:val="clear" w:color="auto" w:fill="FFFFFF"/>
        </w:rPr>
        <w:t xml:space="preserve">codes, </w:t>
      </w:r>
      <w:proofErr w:type="gramStart"/>
      <w:r w:rsidRPr="008820ED">
        <w:rPr>
          <w:rStyle w:val="mtxt"/>
          <w:sz w:val="22"/>
          <w:szCs w:val="22"/>
          <w:shd w:val="clear" w:color="auto" w:fill="FFFFFF"/>
        </w:rPr>
        <w:t>concepts</w:t>
      </w:r>
      <w:proofErr w:type="gramEnd"/>
      <w:r w:rsidRPr="008820ED">
        <w:rPr>
          <w:rStyle w:val="mtxt"/>
          <w:sz w:val="22"/>
          <w:szCs w:val="22"/>
          <w:shd w:val="clear" w:color="auto" w:fill="FFFFFF"/>
        </w:rPr>
        <w:t xml:space="preserve"> and </w:t>
      </w:r>
      <w:r w:rsidRPr="008820ED">
        <w:rPr>
          <w:sz w:val="22"/>
          <w:szCs w:val="22"/>
        </w:rPr>
        <w:t>categories</w:t>
      </w:r>
      <w:r w:rsidRPr="008820ED">
        <w:rPr>
          <w:rStyle w:val="mtxt"/>
          <w:sz w:val="22"/>
          <w:szCs w:val="22"/>
          <w:shd w:val="clear" w:color="auto" w:fill="FFFFFF"/>
        </w:rPr>
        <w:t xml:space="preserve"> themselves emerging inductively through engagement with the interview texts (Denscombe, 1998).</w:t>
      </w:r>
    </w:p>
    <w:p w14:paraId="61C48EFB" w14:textId="77777777" w:rsidR="008820ED" w:rsidRPr="008820ED" w:rsidRDefault="008820ED" w:rsidP="008820ED">
      <w:pPr>
        <w:autoSpaceDE w:val="0"/>
        <w:autoSpaceDN w:val="0"/>
        <w:adjustRightInd w:val="0"/>
        <w:jc w:val="both"/>
        <w:rPr>
          <w:bCs/>
          <w:sz w:val="22"/>
          <w:szCs w:val="22"/>
        </w:rPr>
      </w:pPr>
    </w:p>
    <w:p w14:paraId="4CAE1C02" w14:textId="77777777" w:rsidR="008820ED" w:rsidRPr="008820ED" w:rsidRDefault="008820ED" w:rsidP="008820ED">
      <w:pPr>
        <w:jc w:val="both"/>
        <w:rPr>
          <w:b/>
          <w:sz w:val="22"/>
          <w:szCs w:val="22"/>
        </w:rPr>
      </w:pPr>
      <w:r w:rsidRPr="008820ED">
        <w:rPr>
          <w:b/>
          <w:sz w:val="22"/>
          <w:szCs w:val="22"/>
        </w:rPr>
        <w:t>4. Findings</w:t>
      </w:r>
    </w:p>
    <w:p w14:paraId="4E7556FC" w14:textId="77777777" w:rsidR="008820ED" w:rsidRPr="008820ED" w:rsidRDefault="008820ED" w:rsidP="008820ED">
      <w:pPr>
        <w:jc w:val="both"/>
        <w:rPr>
          <w:bCs/>
          <w:sz w:val="22"/>
          <w:szCs w:val="22"/>
        </w:rPr>
      </w:pPr>
    </w:p>
    <w:p w14:paraId="0696EEB9" w14:textId="77777777" w:rsidR="008820ED" w:rsidRPr="008820ED" w:rsidRDefault="008820ED" w:rsidP="008820ED">
      <w:pPr>
        <w:jc w:val="both"/>
        <w:rPr>
          <w:bCs/>
          <w:sz w:val="22"/>
          <w:szCs w:val="22"/>
        </w:rPr>
      </w:pPr>
      <w:r w:rsidRPr="008820ED">
        <w:rPr>
          <w:bCs/>
          <w:sz w:val="22"/>
          <w:szCs w:val="22"/>
        </w:rPr>
        <w:t xml:space="preserve">The findings set out below seek to chart the process of change, using the </w:t>
      </w:r>
      <w:proofErr w:type="gramStart"/>
      <w:r w:rsidRPr="008820ED">
        <w:rPr>
          <w:bCs/>
          <w:sz w:val="22"/>
          <w:szCs w:val="22"/>
        </w:rPr>
        <w:t>time-line</w:t>
      </w:r>
      <w:proofErr w:type="gramEnd"/>
      <w:r w:rsidRPr="008820ED">
        <w:rPr>
          <w:bCs/>
          <w:sz w:val="22"/>
          <w:szCs w:val="22"/>
        </w:rPr>
        <w:t xml:space="preserve"> of change as a guide. This approach is hoped to enable the reader to access the concepts and processes most intuitively. </w:t>
      </w:r>
      <w:proofErr w:type="gramStart"/>
      <w:r w:rsidRPr="008820ED">
        <w:rPr>
          <w:bCs/>
          <w:sz w:val="22"/>
          <w:szCs w:val="22"/>
        </w:rPr>
        <w:t>As a consequence</w:t>
      </w:r>
      <w:proofErr w:type="gramEnd"/>
      <w:r w:rsidRPr="008820ED">
        <w:rPr>
          <w:bCs/>
          <w:sz w:val="22"/>
          <w:szCs w:val="22"/>
        </w:rPr>
        <w:t xml:space="preserve">, therefore, the references to the underlying key assemblage concepts of the </w:t>
      </w:r>
      <w:r w:rsidRPr="008820ED">
        <w:rPr>
          <w:sz w:val="22"/>
          <w:szCs w:val="22"/>
        </w:rPr>
        <w:t xml:space="preserve">rhizome/lines of flight, and the variables of </w:t>
      </w:r>
      <w:proofErr w:type="spellStart"/>
      <w:r w:rsidRPr="008820ED">
        <w:rPr>
          <w:sz w:val="22"/>
          <w:szCs w:val="22"/>
        </w:rPr>
        <w:t>materialities</w:t>
      </w:r>
      <w:proofErr w:type="spellEnd"/>
      <w:r w:rsidRPr="008820ED">
        <w:rPr>
          <w:sz w:val="22"/>
          <w:szCs w:val="22"/>
        </w:rPr>
        <w:t>/expressivities and coding,</w:t>
      </w:r>
      <w:r w:rsidRPr="008820ED">
        <w:rPr>
          <w:bCs/>
          <w:sz w:val="22"/>
          <w:szCs w:val="22"/>
        </w:rPr>
        <w:t xml:space="preserve"> that guided the data collection, are interspersed throughout, appearing where found to be relevant. This approach is felt to have greater utility than ordering the findings by the three key assemblage concepts, which would create an impenetrable sequence of findings.</w:t>
      </w:r>
    </w:p>
    <w:p w14:paraId="6750D545" w14:textId="77777777" w:rsidR="008820ED" w:rsidRPr="008820ED" w:rsidRDefault="008820ED" w:rsidP="008820ED">
      <w:pPr>
        <w:jc w:val="both"/>
        <w:rPr>
          <w:bCs/>
          <w:sz w:val="22"/>
          <w:szCs w:val="22"/>
        </w:rPr>
      </w:pPr>
    </w:p>
    <w:p w14:paraId="23129C66" w14:textId="77777777" w:rsidR="008820ED" w:rsidRPr="008820ED" w:rsidRDefault="008820ED" w:rsidP="008820ED">
      <w:pPr>
        <w:jc w:val="both"/>
        <w:rPr>
          <w:b/>
          <w:bCs/>
          <w:sz w:val="22"/>
          <w:szCs w:val="22"/>
        </w:rPr>
      </w:pPr>
      <w:r w:rsidRPr="008820ED">
        <w:rPr>
          <w:b/>
          <w:bCs/>
          <w:sz w:val="22"/>
          <w:szCs w:val="22"/>
        </w:rPr>
        <w:t>High Street context</w:t>
      </w:r>
    </w:p>
    <w:p w14:paraId="1C06B0DA" w14:textId="77777777" w:rsidR="008820ED" w:rsidRPr="008820ED" w:rsidRDefault="008820ED" w:rsidP="008820ED">
      <w:pPr>
        <w:jc w:val="both"/>
        <w:rPr>
          <w:sz w:val="22"/>
          <w:szCs w:val="22"/>
        </w:rPr>
      </w:pPr>
      <w:r w:rsidRPr="008820ED">
        <w:rPr>
          <w:sz w:val="22"/>
          <w:szCs w:val="22"/>
        </w:rPr>
        <w:t xml:space="preserve">In terms of the British high street, </w:t>
      </w:r>
      <w:bookmarkStart w:id="71" w:name="_Hlk82977222"/>
      <w:bookmarkStart w:id="72" w:name="_Hlk83580722"/>
      <w:r w:rsidRPr="008820ED">
        <w:rPr>
          <w:sz w:val="22"/>
          <w:szCs w:val="22"/>
        </w:rPr>
        <w:t xml:space="preserve">the volume of empty units </w:t>
      </w:r>
      <w:bookmarkEnd w:id="71"/>
      <w:r w:rsidRPr="008820ED">
        <w:rPr>
          <w:sz w:val="22"/>
          <w:szCs w:val="22"/>
        </w:rPr>
        <w:t xml:space="preserve">is at a record high with no sign that the </w:t>
      </w:r>
      <w:bookmarkStart w:id="73" w:name="_Hlk83580873"/>
      <w:r w:rsidRPr="008820ED">
        <w:rPr>
          <w:sz w:val="22"/>
          <w:szCs w:val="22"/>
        </w:rPr>
        <w:t xml:space="preserve">demand </w:t>
      </w:r>
      <w:bookmarkEnd w:id="72"/>
      <w:r w:rsidRPr="008820ED">
        <w:rPr>
          <w:sz w:val="22"/>
          <w:szCs w:val="22"/>
        </w:rPr>
        <w:t xml:space="preserve">will ever be there to meet the supply </w:t>
      </w:r>
      <w:bookmarkEnd w:id="73"/>
      <w:r w:rsidRPr="008820ED">
        <w:rPr>
          <w:sz w:val="22"/>
          <w:szCs w:val="22"/>
        </w:rPr>
        <w:t xml:space="preserve">(Simpson, 2021). In this vein, four owners (A01, C01, D01, E01) discussed vacancy at the purchase stage. For one (C01) the property had been bought with an understanding of a 20-year income stream, yet two quarters later the tenant went into CVA. However, three owners purchased the properties knowing they were already vacant to some extent (D01, E01), or highly likely to be soon vacated: </w:t>
      </w:r>
      <w:r w:rsidRPr="008820ED">
        <w:rPr>
          <w:i/>
          <w:iCs/>
          <w:sz w:val="22"/>
          <w:szCs w:val="22"/>
        </w:rPr>
        <w:t>“despite the fact that we bought a building with income, we knew the income was not going to last long” (</w:t>
      </w:r>
      <w:r w:rsidRPr="008820ED">
        <w:rPr>
          <w:sz w:val="22"/>
          <w:szCs w:val="22"/>
        </w:rPr>
        <w:t>A01).</w:t>
      </w:r>
      <w:bookmarkStart w:id="74" w:name="_Hlk82068419"/>
      <w:r w:rsidRPr="008820ED">
        <w:rPr>
          <w:sz w:val="22"/>
          <w:szCs w:val="22"/>
        </w:rPr>
        <w:t xml:space="preserve">  Additionally, for another owner:</w:t>
      </w:r>
      <w:bookmarkEnd w:id="74"/>
    </w:p>
    <w:p w14:paraId="47BB4CB9" w14:textId="77777777" w:rsidR="008820ED" w:rsidRPr="008820ED" w:rsidRDefault="008820ED" w:rsidP="008820ED">
      <w:pPr>
        <w:ind w:left="284" w:right="284"/>
        <w:jc w:val="both"/>
        <w:rPr>
          <w:sz w:val="22"/>
          <w:szCs w:val="22"/>
        </w:rPr>
      </w:pPr>
      <w:r w:rsidRPr="008820ED">
        <w:rPr>
          <w:i/>
          <w:iCs/>
          <w:sz w:val="22"/>
          <w:szCs w:val="22"/>
        </w:rPr>
        <w:t>“It was significantly vacant, so that affected value and the value was attractive</w:t>
      </w:r>
      <w:r w:rsidRPr="008820ED">
        <w:rPr>
          <w:i/>
          <w:iCs/>
          <w:color w:val="0000FF"/>
          <w:sz w:val="22"/>
          <w:szCs w:val="22"/>
        </w:rPr>
        <w:t>.</w:t>
      </w:r>
      <w:r w:rsidRPr="008820ED">
        <w:rPr>
          <w:i/>
          <w:iCs/>
          <w:sz w:val="22"/>
          <w:szCs w:val="22"/>
        </w:rPr>
        <w:t xml:space="preserve"> I mean, we acquired the building at a price that you could not have built it for. And this happens a lot … you hear it all the time … we bought it very competitively … but the building standard was excellent” </w:t>
      </w:r>
      <w:r w:rsidRPr="008820ED">
        <w:rPr>
          <w:sz w:val="22"/>
          <w:szCs w:val="22"/>
        </w:rPr>
        <w:t>(D01).</w:t>
      </w:r>
    </w:p>
    <w:p w14:paraId="777B3184" w14:textId="77777777" w:rsidR="008820ED" w:rsidRPr="008820ED" w:rsidRDefault="008820ED" w:rsidP="008820ED">
      <w:pPr>
        <w:ind w:right="284"/>
        <w:jc w:val="both"/>
        <w:rPr>
          <w:i/>
          <w:color w:val="7030A0"/>
          <w:sz w:val="22"/>
          <w:szCs w:val="22"/>
        </w:rPr>
      </w:pPr>
    </w:p>
    <w:p w14:paraId="4C278CC3" w14:textId="77777777" w:rsidR="008820ED" w:rsidRPr="008820ED" w:rsidRDefault="008820ED" w:rsidP="008820ED">
      <w:pPr>
        <w:jc w:val="both"/>
        <w:rPr>
          <w:sz w:val="22"/>
          <w:szCs w:val="22"/>
        </w:rPr>
      </w:pPr>
      <w:bookmarkStart w:id="75" w:name="_Hlk83715077"/>
      <w:r w:rsidRPr="008820ED">
        <w:rPr>
          <w:sz w:val="22"/>
          <w:szCs w:val="22"/>
        </w:rPr>
        <w:lastRenderedPageBreak/>
        <w:t>Assemblages do not embody any ordered, predetermined shape, but opportunistically co-evolve with their surroundings.</w:t>
      </w:r>
      <w:bookmarkEnd w:id="75"/>
      <w:r w:rsidRPr="008820ED">
        <w:rPr>
          <w:sz w:val="22"/>
          <w:szCs w:val="22"/>
        </w:rPr>
        <w:t xml:space="preserve"> While vacated space was a characteristic of all five case study assemblages, the attraction was not ‘emptiness’. </w:t>
      </w:r>
      <w:proofErr w:type="spellStart"/>
      <w:r w:rsidRPr="008820ED">
        <w:rPr>
          <w:sz w:val="22"/>
          <w:szCs w:val="22"/>
        </w:rPr>
        <w:t>Neighbouring</w:t>
      </w:r>
      <w:proofErr w:type="spellEnd"/>
      <w:r w:rsidRPr="008820ED">
        <w:rPr>
          <w:sz w:val="22"/>
          <w:szCs w:val="22"/>
        </w:rPr>
        <w:t xml:space="preserve"> uses and attractors</w:t>
      </w:r>
      <w:r w:rsidRPr="008820ED">
        <w:rPr>
          <w:b/>
          <w:bCs/>
          <w:sz w:val="22"/>
          <w:szCs w:val="22"/>
        </w:rPr>
        <w:t xml:space="preserve"> </w:t>
      </w:r>
      <w:r w:rsidRPr="008820ED">
        <w:rPr>
          <w:sz w:val="22"/>
          <w:szCs w:val="22"/>
        </w:rPr>
        <w:t>were important:</w:t>
      </w:r>
    </w:p>
    <w:p w14:paraId="244FFFC4" w14:textId="77777777" w:rsidR="008820ED" w:rsidRPr="008820ED" w:rsidRDefault="008820ED" w:rsidP="008820ED">
      <w:pPr>
        <w:ind w:left="284" w:right="284"/>
        <w:jc w:val="both"/>
        <w:rPr>
          <w:sz w:val="22"/>
          <w:szCs w:val="22"/>
        </w:rPr>
      </w:pPr>
      <w:r w:rsidRPr="008820ED">
        <w:rPr>
          <w:i/>
          <w:iCs/>
          <w:sz w:val="22"/>
          <w:szCs w:val="22"/>
        </w:rPr>
        <w:t>“You know, they [occupiers] are ultimately looking for the right space at the right price, but they're not going to go to [the property] if it's an island out in the middle of nowhere … there's something about the area we are in, that the building, though it had been vacated, didn't feel isolated”</w:t>
      </w:r>
      <w:r w:rsidRPr="008820ED">
        <w:rPr>
          <w:sz w:val="22"/>
          <w:szCs w:val="22"/>
        </w:rPr>
        <w:t xml:space="preserve"> (D01).</w:t>
      </w:r>
    </w:p>
    <w:p w14:paraId="2C13BD66" w14:textId="77777777" w:rsidR="008820ED" w:rsidRPr="008820ED" w:rsidRDefault="008820ED" w:rsidP="008820ED">
      <w:pPr>
        <w:jc w:val="both"/>
        <w:rPr>
          <w:sz w:val="22"/>
          <w:szCs w:val="22"/>
        </w:rPr>
      </w:pPr>
      <w:r w:rsidRPr="008820ED">
        <w:rPr>
          <w:sz w:val="22"/>
          <w:szCs w:val="22"/>
        </w:rPr>
        <w:t xml:space="preserve">While vacated properties are attractive, isolated properties are not.  </w:t>
      </w:r>
      <w:r w:rsidRPr="008820ED">
        <w:rPr>
          <w:bCs/>
          <w:sz w:val="22"/>
          <w:szCs w:val="22"/>
        </w:rPr>
        <w:t>Table 1</w:t>
      </w:r>
      <w:r w:rsidRPr="008820ED">
        <w:rPr>
          <w:sz w:val="22"/>
          <w:szCs w:val="22"/>
        </w:rPr>
        <w:t xml:space="preserve"> shows the </w:t>
      </w:r>
      <w:proofErr w:type="spellStart"/>
      <w:r w:rsidRPr="008820ED">
        <w:rPr>
          <w:sz w:val="22"/>
          <w:szCs w:val="22"/>
        </w:rPr>
        <w:t>neighbouring</w:t>
      </w:r>
      <w:proofErr w:type="spellEnd"/>
      <w:r w:rsidRPr="008820ED">
        <w:rPr>
          <w:sz w:val="22"/>
          <w:szCs w:val="22"/>
        </w:rPr>
        <w:t xml:space="preserve"> uses around vacated buildings which triggered an initial interest for both potential owners and occupiers.</w:t>
      </w:r>
    </w:p>
    <w:p w14:paraId="0C55B891" w14:textId="77777777" w:rsidR="008820ED" w:rsidRPr="008820ED" w:rsidRDefault="008820ED" w:rsidP="008820ED">
      <w:pPr>
        <w:jc w:val="both"/>
        <w:rPr>
          <w:bCs/>
          <w:sz w:val="22"/>
          <w:szCs w:val="22"/>
        </w:rPr>
      </w:pPr>
    </w:p>
    <w:p w14:paraId="4F96433B" w14:textId="77777777" w:rsidR="008820ED" w:rsidRPr="008820ED" w:rsidRDefault="008820ED" w:rsidP="008820ED">
      <w:pPr>
        <w:jc w:val="both"/>
        <w:rPr>
          <w:b/>
          <w:bCs/>
          <w:sz w:val="22"/>
          <w:szCs w:val="22"/>
        </w:rPr>
      </w:pPr>
      <w:bookmarkStart w:id="76" w:name="_Hlk82596117"/>
      <w:r w:rsidRPr="008820ED">
        <w:rPr>
          <w:b/>
          <w:bCs/>
          <w:sz w:val="22"/>
          <w:szCs w:val="22"/>
        </w:rPr>
        <w:t xml:space="preserve">Table 1: </w:t>
      </w:r>
      <w:bookmarkStart w:id="77" w:name="_Hlk83318237"/>
      <w:bookmarkStart w:id="78" w:name="_Hlk83051137"/>
      <w:bookmarkStart w:id="79" w:name="_Hlk82584805"/>
      <w:proofErr w:type="spellStart"/>
      <w:r w:rsidRPr="008820ED">
        <w:rPr>
          <w:b/>
          <w:bCs/>
          <w:sz w:val="22"/>
          <w:szCs w:val="22"/>
        </w:rPr>
        <w:t>Neighbouring</w:t>
      </w:r>
      <w:proofErr w:type="spellEnd"/>
      <w:r w:rsidRPr="008820ED">
        <w:rPr>
          <w:b/>
          <w:bCs/>
          <w:sz w:val="22"/>
          <w:szCs w:val="22"/>
        </w:rPr>
        <w:t xml:space="preserve"> uses and attractors</w:t>
      </w:r>
      <w:bookmarkEnd w:id="77"/>
      <w:bookmarkEnd w:id="78"/>
      <w:bookmarkEnd w:id="79"/>
    </w:p>
    <w:tbl>
      <w:tblPr>
        <w:tblStyle w:val="TableGrid"/>
        <w:tblW w:w="9351" w:type="dxa"/>
        <w:tblLook w:val="04A0" w:firstRow="1" w:lastRow="0" w:firstColumn="1" w:lastColumn="0" w:noHBand="0" w:noVBand="1"/>
      </w:tblPr>
      <w:tblGrid>
        <w:gridCol w:w="9351"/>
      </w:tblGrid>
      <w:tr w:rsidR="008820ED" w:rsidRPr="008820ED" w14:paraId="11FB4AC3" w14:textId="77777777" w:rsidTr="00CA1BBF">
        <w:trPr>
          <w:trHeight w:val="370"/>
        </w:trPr>
        <w:tc>
          <w:tcPr>
            <w:tcW w:w="9351" w:type="dxa"/>
          </w:tcPr>
          <w:p w14:paraId="529DFCE2" w14:textId="77777777" w:rsidR="008820ED" w:rsidRPr="008820ED" w:rsidRDefault="008820ED" w:rsidP="00CA1BBF">
            <w:pPr>
              <w:ind w:left="360"/>
              <w:jc w:val="both"/>
              <w:rPr>
                <w:sz w:val="22"/>
                <w:szCs w:val="22"/>
              </w:rPr>
            </w:pPr>
            <w:r w:rsidRPr="008820ED">
              <w:rPr>
                <w:sz w:val="22"/>
                <w:szCs w:val="22"/>
              </w:rPr>
              <w:t>Access to public transport A02, B02, C01, C02, D01 (buses, trains, trams)</w:t>
            </w:r>
          </w:p>
        </w:tc>
      </w:tr>
      <w:tr w:rsidR="008820ED" w:rsidRPr="008820ED" w14:paraId="0E1C7626" w14:textId="77777777" w:rsidTr="00CA1BBF">
        <w:trPr>
          <w:trHeight w:val="370"/>
        </w:trPr>
        <w:tc>
          <w:tcPr>
            <w:tcW w:w="9351" w:type="dxa"/>
          </w:tcPr>
          <w:p w14:paraId="706FDA74" w14:textId="77777777" w:rsidR="008820ED" w:rsidRPr="008820ED" w:rsidRDefault="008820ED" w:rsidP="00CA1BBF">
            <w:pPr>
              <w:ind w:left="360"/>
              <w:jc w:val="both"/>
              <w:rPr>
                <w:sz w:val="22"/>
                <w:szCs w:val="22"/>
              </w:rPr>
            </w:pPr>
            <w:r w:rsidRPr="008820ED">
              <w:rPr>
                <w:sz w:val="22"/>
                <w:szCs w:val="22"/>
              </w:rPr>
              <w:t>Adjacent to multi-</w:t>
            </w:r>
            <w:proofErr w:type="spellStart"/>
            <w:r w:rsidRPr="008820ED">
              <w:rPr>
                <w:sz w:val="22"/>
                <w:szCs w:val="22"/>
              </w:rPr>
              <w:t>storey</w:t>
            </w:r>
            <w:proofErr w:type="spellEnd"/>
            <w:r w:rsidRPr="008820ED">
              <w:rPr>
                <w:sz w:val="22"/>
                <w:szCs w:val="22"/>
              </w:rPr>
              <w:t xml:space="preserve"> car parks C03, C04, C05, D01, D07 </w:t>
            </w:r>
          </w:p>
        </w:tc>
      </w:tr>
      <w:tr w:rsidR="008820ED" w:rsidRPr="008820ED" w14:paraId="50994C08" w14:textId="77777777" w:rsidTr="00CA1BBF">
        <w:trPr>
          <w:trHeight w:val="370"/>
        </w:trPr>
        <w:tc>
          <w:tcPr>
            <w:tcW w:w="9351" w:type="dxa"/>
          </w:tcPr>
          <w:p w14:paraId="74ED59C2" w14:textId="77777777" w:rsidR="008820ED" w:rsidRPr="008820ED" w:rsidRDefault="008820ED" w:rsidP="00CA1BBF">
            <w:pPr>
              <w:ind w:left="360"/>
              <w:jc w:val="both"/>
              <w:rPr>
                <w:sz w:val="22"/>
                <w:szCs w:val="22"/>
              </w:rPr>
            </w:pPr>
            <w:r w:rsidRPr="008820ED">
              <w:rPr>
                <w:sz w:val="22"/>
                <w:szCs w:val="22"/>
              </w:rPr>
              <w:t>Organic footfall A02, B02, C02</w:t>
            </w:r>
          </w:p>
        </w:tc>
      </w:tr>
      <w:tr w:rsidR="008820ED" w:rsidRPr="008820ED" w14:paraId="2D2B8894" w14:textId="77777777" w:rsidTr="00CA1BBF">
        <w:trPr>
          <w:trHeight w:val="370"/>
        </w:trPr>
        <w:tc>
          <w:tcPr>
            <w:tcW w:w="9351" w:type="dxa"/>
          </w:tcPr>
          <w:p w14:paraId="24069FC2" w14:textId="77777777" w:rsidR="008820ED" w:rsidRPr="008820ED" w:rsidRDefault="008820ED" w:rsidP="00CA1BBF">
            <w:pPr>
              <w:ind w:left="360"/>
              <w:jc w:val="both"/>
              <w:rPr>
                <w:sz w:val="22"/>
                <w:szCs w:val="22"/>
              </w:rPr>
            </w:pPr>
            <w:r w:rsidRPr="008820ED">
              <w:rPr>
                <w:sz w:val="22"/>
                <w:szCs w:val="22"/>
              </w:rPr>
              <w:t>Proximity to shops B02, D01, E01</w:t>
            </w:r>
          </w:p>
        </w:tc>
      </w:tr>
      <w:tr w:rsidR="008820ED" w:rsidRPr="008820ED" w14:paraId="3BCB2700" w14:textId="77777777" w:rsidTr="00CA1BBF">
        <w:trPr>
          <w:trHeight w:val="370"/>
        </w:trPr>
        <w:tc>
          <w:tcPr>
            <w:tcW w:w="9351" w:type="dxa"/>
          </w:tcPr>
          <w:p w14:paraId="7A236AF5" w14:textId="77777777" w:rsidR="008820ED" w:rsidRPr="008820ED" w:rsidRDefault="008820ED" w:rsidP="00CA1BBF">
            <w:pPr>
              <w:ind w:left="360"/>
              <w:jc w:val="both"/>
              <w:rPr>
                <w:sz w:val="22"/>
                <w:szCs w:val="22"/>
              </w:rPr>
            </w:pPr>
            <w:r w:rsidRPr="008820ED">
              <w:rPr>
                <w:sz w:val="22"/>
                <w:szCs w:val="22"/>
              </w:rPr>
              <w:t xml:space="preserve">Proximity to leisure, hotels, </w:t>
            </w:r>
            <w:proofErr w:type="gramStart"/>
            <w:r w:rsidRPr="008820ED">
              <w:rPr>
                <w:sz w:val="22"/>
                <w:szCs w:val="22"/>
              </w:rPr>
              <w:t>restaurants</w:t>
            </w:r>
            <w:proofErr w:type="gramEnd"/>
            <w:r w:rsidRPr="008820ED">
              <w:rPr>
                <w:sz w:val="22"/>
                <w:szCs w:val="22"/>
              </w:rPr>
              <w:t xml:space="preserve"> and tourist traffic A02, D01, E01</w:t>
            </w:r>
          </w:p>
        </w:tc>
      </w:tr>
    </w:tbl>
    <w:p w14:paraId="7BA3F759" w14:textId="77777777" w:rsidR="008820ED" w:rsidRPr="008820ED" w:rsidRDefault="008820ED" w:rsidP="008820ED">
      <w:pPr>
        <w:jc w:val="both"/>
        <w:rPr>
          <w:color w:val="FF0000"/>
          <w:sz w:val="22"/>
          <w:szCs w:val="22"/>
        </w:rPr>
      </w:pPr>
      <w:bookmarkStart w:id="80" w:name="_Hlk82163902"/>
      <w:bookmarkStart w:id="81" w:name="_Hlk83024476"/>
      <w:bookmarkEnd w:id="76"/>
    </w:p>
    <w:p w14:paraId="5C55150E" w14:textId="77777777" w:rsidR="008820ED" w:rsidRPr="008820ED" w:rsidRDefault="008820ED" w:rsidP="008820ED">
      <w:pPr>
        <w:jc w:val="both"/>
        <w:rPr>
          <w:sz w:val="22"/>
          <w:szCs w:val="22"/>
          <w:lang w:eastAsia="en-GB"/>
        </w:rPr>
      </w:pPr>
      <w:r w:rsidRPr="008820ED">
        <w:rPr>
          <w:sz w:val="22"/>
          <w:szCs w:val="22"/>
        </w:rPr>
        <w:t>These uses are, “all, I would say, very much working to our benefit” (A02), illustrating how assemblages opportunistically co-evolving with their surroundings. Moreover, four of the five case studies had chosen to locate in – operationally –</w:t>
      </w:r>
      <w:r w:rsidRPr="008820ED">
        <w:rPr>
          <w:color w:val="FF0000"/>
          <w:sz w:val="22"/>
          <w:szCs w:val="22"/>
        </w:rPr>
        <w:t xml:space="preserve"> </w:t>
      </w:r>
      <w:r w:rsidRPr="008820ED">
        <w:rPr>
          <w:sz w:val="22"/>
          <w:szCs w:val="22"/>
        </w:rPr>
        <w:t xml:space="preserve">something of a sweet spot, with building frontages directly abutting both </w:t>
      </w:r>
      <w:proofErr w:type="spellStart"/>
      <w:r w:rsidRPr="008820ED">
        <w:rPr>
          <w:sz w:val="22"/>
          <w:szCs w:val="22"/>
        </w:rPr>
        <w:t>pedestrianised</w:t>
      </w:r>
      <w:proofErr w:type="spellEnd"/>
      <w:r w:rsidRPr="008820ED">
        <w:rPr>
          <w:sz w:val="22"/>
          <w:szCs w:val="22"/>
        </w:rPr>
        <w:t xml:space="preserve"> and trafficked streets. In this way, the properties benefited from pedestrian-orientated spaces: after all, </w:t>
      </w:r>
      <w:r w:rsidRPr="008820ED">
        <w:rPr>
          <w:sz w:val="22"/>
          <w:szCs w:val="22"/>
          <w:lang w:eastAsia="en-GB"/>
        </w:rPr>
        <w:t>“we all want a streetscape with a European feel” (D01).</w:t>
      </w:r>
      <w:r w:rsidRPr="008820ED">
        <w:rPr>
          <w:sz w:val="22"/>
          <w:szCs w:val="22"/>
        </w:rPr>
        <w:t xml:space="preserve">  </w:t>
      </w:r>
      <w:r w:rsidRPr="008820ED">
        <w:rPr>
          <w:sz w:val="22"/>
          <w:szCs w:val="22"/>
          <w:lang w:eastAsia="en-GB"/>
        </w:rPr>
        <w:t xml:space="preserve">Of the four properties, two – </w:t>
      </w:r>
      <w:proofErr w:type="spellStart"/>
      <w:r w:rsidRPr="008820ED">
        <w:rPr>
          <w:sz w:val="22"/>
          <w:szCs w:val="22"/>
          <w:lang w:eastAsia="en-GB"/>
        </w:rPr>
        <w:t>aspirationally</w:t>
      </w:r>
      <w:proofErr w:type="spellEnd"/>
      <w:r w:rsidRPr="008820ED">
        <w:rPr>
          <w:sz w:val="22"/>
          <w:szCs w:val="22"/>
          <w:lang w:eastAsia="en-GB"/>
        </w:rPr>
        <w:t xml:space="preserve"> – wished to flow onto the streets [</w:t>
      </w:r>
      <w:r w:rsidRPr="008820ED">
        <w:rPr>
          <w:bCs/>
          <w:sz w:val="22"/>
          <w:szCs w:val="22"/>
          <w:lang w:eastAsia="en-GB"/>
        </w:rPr>
        <w:t>B02b</w:t>
      </w:r>
      <w:r w:rsidRPr="008820ED">
        <w:rPr>
          <w:sz w:val="22"/>
          <w:szCs w:val="22"/>
          <w:lang w:eastAsia="en-GB"/>
        </w:rPr>
        <w:t xml:space="preserve">, A02], while two already had </w:t>
      </w:r>
      <w:proofErr w:type="spellStart"/>
      <w:r w:rsidRPr="008820ED">
        <w:rPr>
          <w:sz w:val="22"/>
          <w:szCs w:val="22"/>
          <w:lang w:eastAsia="en-GB"/>
        </w:rPr>
        <w:t>licencing</w:t>
      </w:r>
      <w:proofErr w:type="spellEnd"/>
      <w:r w:rsidRPr="008820ED">
        <w:rPr>
          <w:sz w:val="22"/>
          <w:szCs w:val="22"/>
          <w:lang w:eastAsia="en-GB"/>
        </w:rPr>
        <w:t xml:space="preserve"> in place for tables/chairs. At the same time, across the same four properties </w:t>
      </w:r>
      <w:r w:rsidRPr="008820ED">
        <w:rPr>
          <w:sz w:val="22"/>
          <w:szCs w:val="22"/>
        </w:rPr>
        <w:t xml:space="preserve">the benefits of trafficked roads were listed. Not only do they enable access to adjacent car parks and taxi ranks, because </w:t>
      </w:r>
      <w:r w:rsidRPr="008820ED">
        <w:rPr>
          <w:i/>
          <w:iCs/>
          <w:sz w:val="22"/>
          <w:szCs w:val="22"/>
        </w:rPr>
        <w:t>“sometimes people just want to get out the car, don’t they, and want to be on the doorstep”</w:t>
      </w:r>
      <w:r w:rsidRPr="008820ED">
        <w:rPr>
          <w:sz w:val="22"/>
          <w:szCs w:val="22"/>
        </w:rPr>
        <w:t xml:space="preserve"> (C05), but also facilitated additional quick visits to a property </w:t>
      </w:r>
      <w:r w:rsidRPr="008820ED">
        <w:rPr>
          <w:bCs/>
          <w:sz w:val="22"/>
          <w:szCs w:val="22"/>
        </w:rPr>
        <w:t>(B02b)</w:t>
      </w:r>
      <w:r w:rsidRPr="008820ED">
        <w:rPr>
          <w:sz w:val="22"/>
          <w:szCs w:val="22"/>
        </w:rPr>
        <w:t>. Additionally, they created ease of access to trams and buses, with one occupier explicitly stating they wanted to be on a bus route to enable employees to get to work (C02).</w:t>
      </w:r>
    </w:p>
    <w:p w14:paraId="4715A083" w14:textId="77777777" w:rsidR="008820ED" w:rsidRPr="008820ED" w:rsidRDefault="008820ED" w:rsidP="008820ED">
      <w:pPr>
        <w:jc w:val="both"/>
        <w:rPr>
          <w:sz w:val="22"/>
          <w:szCs w:val="22"/>
        </w:rPr>
      </w:pPr>
    </w:p>
    <w:bookmarkEnd w:id="80"/>
    <w:bookmarkEnd w:id="81"/>
    <w:p w14:paraId="23BBA70B" w14:textId="77777777" w:rsidR="008820ED" w:rsidRPr="008820ED" w:rsidRDefault="008820ED" w:rsidP="008820ED">
      <w:pPr>
        <w:jc w:val="both"/>
        <w:rPr>
          <w:sz w:val="22"/>
          <w:szCs w:val="22"/>
        </w:rPr>
      </w:pPr>
      <w:r w:rsidRPr="008820ED">
        <w:rPr>
          <w:sz w:val="22"/>
          <w:szCs w:val="22"/>
        </w:rPr>
        <w:t xml:space="preserve">As highlighted in assemblage thinking, the world – as a theoretical space – can be envisaged as one huge, unending continuum.  As such, assemblage theory seeks to do away with artificial beginnings and endings, seeking instead to establish a “logic of the AND” (Deleuze &amp; </w:t>
      </w:r>
      <w:proofErr w:type="spellStart"/>
      <w:r w:rsidRPr="008820ED">
        <w:rPr>
          <w:sz w:val="22"/>
          <w:szCs w:val="22"/>
        </w:rPr>
        <w:t>Guattari</w:t>
      </w:r>
      <w:proofErr w:type="spellEnd"/>
      <w:r w:rsidRPr="008820ED">
        <w:rPr>
          <w:sz w:val="22"/>
          <w:szCs w:val="22"/>
        </w:rPr>
        <w:t xml:space="preserve">, 1987).  For example, “the assemblage of Princess Mary comprises flesh and blood and gown and tiara </w:t>
      </w:r>
      <w:bookmarkStart w:id="82" w:name="_Hlk83393611"/>
      <w:r w:rsidRPr="008820ED">
        <w:rPr>
          <w:sz w:val="22"/>
          <w:szCs w:val="22"/>
        </w:rPr>
        <w:t>… and … and … and</w:t>
      </w:r>
      <w:bookmarkEnd w:id="82"/>
      <w:r w:rsidRPr="008820ED">
        <w:rPr>
          <w:sz w:val="22"/>
          <w:szCs w:val="22"/>
        </w:rPr>
        <w:t>” (Hillier and Abrahams, 2013, p.19).  The list could go on: and shoes and pearls and earrings … and … and … and.</w:t>
      </w:r>
      <w:r w:rsidRPr="008820ED">
        <w:rPr>
          <w:color w:val="FF0000"/>
          <w:sz w:val="22"/>
          <w:szCs w:val="22"/>
        </w:rPr>
        <w:t xml:space="preserve">  </w:t>
      </w:r>
      <w:r w:rsidRPr="008820ED">
        <w:rPr>
          <w:sz w:val="22"/>
          <w:szCs w:val="22"/>
        </w:rPr>
        <w:t xml:space="preserve">In this vein, in seeking to access both </w:t>
      </w:r>
      <w:proofErr w:type="spellStart"/>
      <w:r w:rsidRPr="008820ED">
        <w:rPr>
          <w:sz w:val="22"/>
          <w:szCs w:val="22"/>
        </w:rPr>
        <w:t>pedestrianised</w:t>
      </w:r>
      <w:proofErr w:type="spellEnd"/>
      <w:r w:rsidRPr="008820ED">
        <w:rPr>
          <w:sz w:val="22"/>
          <w:szCs w:val="22"/>
        </w:rPr>
        <w:t xml:space="preserve"> and trafficked areas, the case study assemblages </w:t>
      </w:r>
      <w:bookmarkStart w:id="83" w:name="_Hlk83741459"/>
      <w:r w:rsidRPr="008820ED">
        <w:rPr>
          <w:sz w:val="22"/>
          <w:szCs w:val="22"/>
        </w:rPr>
        <w:t xml:space="preserve">are attracted to spaces where ‘ands’ can be </w:t>
      </w:r>
      <w:proofErr w:type="spellStart"/>
      <w:r w:rsidRPr="008820ED">
        <w:rPr>
          <w:sz w:val="22"/>
          <w:szCs w:val="22"/>
        </w:rPr>
        <w:t>maximised</w:t>
      </w:r>
      <w:proofErr w:type="spellEnd"/>
      <w:r w:rsidRPr="008820ED">
        <w:rPr>
          <w:sz w:val="22"/>
          <w:szCs w:val="22"/>
        </w:rPr>
        <w:t xml:space="preserve">. </w:t>
      </w:r>
      <w:bookmarkEnd w:id="83"/>
      <w:r w:rsidRPr="008820ED">
        <w:rPr>
          <w:sz w:val="22"/>
          <w:szCs w:val="22"/>
        </w:rPr>
        <w:t xml:space="preserve">For planners seeking to create the conditions under which vacated buildings might be repurposed, this raises questions around embracing an ‘and … and … and’ approach to urban management – even if this approach challenges current urban design orthodoxies, whereby the decisions to invest on the very edge of </w:t>
      </w:r>
      <w:proofErr w:type="spellStart"/>
      <w:r w:rsidRPr="008820ED">
        <w:rPr>
          <w:sz w:val="22"/>
          <w:szCs w:val="22"/>
        </w:rPr>
        <w:t>pedestrianised</w:t>
      </w:r>
      <w:proofErr w:type="spellEnd"/>
      <w:r w:rsidRPr="008820ED">
        <w:rPr>
          <w:sz w:val="22"/>
          <w:szCs w:val="22"/>
        </w:rPr>
        <w:t xml:space="preserve"> areas raises questions about the appropriate size and configuration of overall traffic-free areas in city </w:t>
      </w:r>
      <w:proofErr w:type="spellStart"/>
      <w:r w:rsidRPr="008820ED">
        <w:rPr>
          <w:sz w:val="22"/>
          <w:szCs w:val="22"/>
        </w:rPr>
        <w:t>centres</w:t>
      </w:r>
      <w:proofErr w:type="spellEnd"/>
      <w:r w:rsidRPr="008820ED">
        <w:rPr>
          <w:sz w:val="22"/>
          <w:szCs w:val="22"/>
        </w:rPr>
        <w:t xml:space="preserve">.  Perhaps, rather than wholesale </w:t>
      </w:r>
      <w:proofErr w:type="spellStart"/>
      <w:r w:rsidRPr="008820ED">
        <w:rPr>
          <w:sz w:val="22"/>
          <w:szCs w:val="22"/>
        </w:rPr>
        <w:t>pedestrianisation</w:t>
      </w:r>
      <w:proofErr w:type="spellEnd"/>
      <w:r w:rsidRPr="008820ED">
        <w:rPr>
          <w:sz w:val="22"/>
          <w:szCs w:val="22"/>
        </w:rPr>
        <w:t xml:space="preserve">, finding protracted ways of allowing for vehicular movement, may </w:t>
      </w:r>
      <w:proofErr w:type="spellStart"/>
      <w:r w:rsidRPr="008820ED">
        <w:rPr>
          <w:sz w:val="22"/>
          <w:szCs w:val="22"/>
        </w:rPr>
        <w:t>maximise</w:t>
      </w:r>
      <w:proofErr w:type="spellEnd"/>
      <w:r w:rsidRPr="008820ED">
        <w:rPr>
          <w:sz w:val="22"/>
          <w:szCs w:val="22"/>
        </w:rPr>
        <w:t xml:space="preserve"> ‘and … and … and’ opportunities and attract to investors in vacated space. </w:t>
      </w:r>
    </w:p>
    <w:p w14:paraId="71042896" w14:textId="77777777" w:rsidR="008820ED" w:rsidRPr="008820ED" w:rsidRDefault="008820ED" w:rsidP="008820ED">
      <w:pPr>
        <w:jc w:val="both"/>
        <w:rPr>
          <w:b/>
          <w:bCs/>
          <w:color w:val="FF0000"/>
          <w:sz w:val="22"/>
          <w:szCs w:val="22"/>
          <w:u w:val="single"/>
        </w:rPr>
      </w:pPr>
    </w:p>
    <w:p w14:paraId="4795E94B" w14:textId="77777777" w:rsidR="008820ED" w:rsidRPr="008820ED" w:rsidRDefault="008820ED" w:rsidP="008820ED">
      <w:pPr>
        <w:jc w:val="both"/>
        <w:rPr>
          <w:b/>
          <w:bCs/>
          <w:color w:val="FF0000"/>
          <w:sz w:val="22"/>
          <w:szCs w:val="22"/>
        </w:rPr>
      </w:pPr>
      <w:bookmarkStart w:id="84" w:name="_Hlk83729473"/>
      <w:r w:rsidRPr="008820ED">
        <w:rPr>
          <w:b/>
          <w:bCs/>
          <w:sz w:val="22"/>
          <w:szCs w:val="22"/>
        </w:rPr>
        <w:t xml:space="preserve">Assemblage components: </w:t>
      </w:r>
      <w:bookmarkEnd w:id="84"/>
      <w:r w:rsidRPr="008820ED">
        <w:rPr>
          <w:b/>
          <w:bCs/>
          <w:sz w:val="22"/>
          <w:szCs w:val="22"/>
        </w:rPr>
        <w:t>the property</w:t>
      </w:r>
    </w:p>
    <w:p w14:paraId="5D23C42D" w14:textId="77777777" w:rsidR="008820ED" w:rsidRPr="008820ED" w:rsidRDefault="008820ED" w:rsidP="008820ED">
      <w:pPr>
        <w:jc w:val="both"/>
        <w:rPr>
          <w:sz w:val="22"/>
          <w:szCs w:val="22"/>
        </w:rPr>
      </w:pPr>
      <w:r w:rsidRPr="008820ED">
        <w:rPr>
          <w:sz w:val="22"/>
          <w:szCs w:val="22"/>
        </w:rPr>
        <w:t xml:space="preserve">For owners/occupiers, at the decision-making stage, a key issue which they found to be their “hesitation piece” (C02) – that is, issues which “gave us some pause” (A02) – was the condition of the vacated space. Its state of disrepair was an issue raised by four interviewees (A01, C01, C02, E01) across three of the properties (of the remaining two properties, one was in excellent </w:t>
      </w:r>
      <w:proofErr w:type="gramStart"/>
      <w:r w:rsidRPr="008820ED">
        <w:rPr>
          <w:sz w:val="22"/>
          <w:szCs w:val="22"/>
        </w:rPr>
        <w:t>condition</w:t>
      </w:r>
      <w:proofErr w:type="gramEnd"/>
      <w:r w:rsidRPr="008820ED">
        <w:rPr>
          <w:sz w:val="22"/>
          <w:szCs w:val="22"/>
        </w:rPr>
        <w:t xml:space="preserve"> and one was already undergoing a full building upgrade). In all instances, however, disrepair was outweighed </w:t>
      </w:r>
      <w:bookmarkStart w:id="85" w:name="_Hlk83723252"/>
      <w:r w:rsidRPr="008820ED">
        <w:rPr>
          <w:sz w:val="22"/>
          <w:szCs w:val="22"/>
        </w:rPr>
        <w:t xml:space="preserve">by the buildings’ </w:t>
      </w:r>
      <w:bookmarkStart w:id="86" w:name="_Hlk83551327"/>
      <w:r w:rsidRPr="008820ED">
        <w:rPr>
          <w:sz w:val="22"/>
          <w:szCs w:val="22"/>
        </w:rPr>
        <w:t>attractiveness</w:t>
      </w:r>
      <w:bookmarkEnd w:id="86"/>
      <w:r w:rsidRPr="008820ED">
        <w:rPr>
          <w:sz w:val="22"/>
          <w:szCs w:val="22"/>
        </w:rPr>
        <w:t xml:space="preserve"> – including period architecture.</w:t>
      </w:r>
      <w:bookmarkEnd w:id="85"/>
      <w:r w:rsidRPr="008820ED">
        <w:rPr>
          <w:sz w:val="22"/>
          <w:szCs w:val="22"/>
        </w:rPr>
        <w:t xml:space="preserve"> This highlights the importance of a building’s external attractiveness/architectural style, which – in assemblage language – is known as an expressive component. Overall assemblages are a mixture of</w:t>
      </w:r>
      <w:bookmarkStart w:id="87" w:name="_Hlk83723289"/>
      <w:r w:rsidRPr="008820ED">
        <w:rPr>
          <w:sz w:val="22"/>
          <w:szCs w:val="22"/>
        </w:rPr>
        <w:t xml:space="preserve"> expressive and material components</w:t>
      </w:r>
      <w:bookmarkEnd w:id="87"/>
      <w:r w:rsidRPr="008820ED">
        <w:rPr>
          <w:sz w:val="22"/>
          <w:szCs w:val="22"/>
        </w:rPr>
        <w:t xml:space="preserve">. Expressive components play a symbolic role, while </w:t>
      </w:r>
      <w:r w:rsidRPr="008820ED">
        <w:rPr>
          <w:rFonts w:eastAsia="Calibri"/>
          <w:sz w:val="22"/>
          <w:szCs w:val="22"/>
        </w:rPr>
        <w:t xml:space="preserve">material components – or </w:t>
      </w:r>
      <w:r w:rsidRPr="008820ED">
        <w:rPr>
          <w:sz w:val="22"/>
          <w:szCs w:val="22"/>
        </w:rPr>
        <w:t xml:space="preserve">material content – </w:t>
      </w:r>
      <w:r w:rsidRPr="008820ED">
        <w:rPr>
          <w:rFonts w:eastAsia="Calibri"/>
          <w:sz w:val="22"/>
          <w:szCs w:val="22"/>
        </w:rPr>
        <w:t xml:space="preserve">are composed of matter. </w:t>
      </w:r>
      <w:r w:rsidRPr="008820ED">
        <w:rPr>
          <w:sz w:val="22"/>
          <w:szCs w:val="22"/>
        </w:rPr>
        <w:t xml:space="preserve">An example of this mixture would be the building itself which provides </w:t>
      </w:r>
      <w:bookmarkStart w:id="88" w:name="_Hlk83742787"/>
      <w:r w:rsidRPr="008820ED">
        <w:rPr>
          <w:sz w:val="22"/>
          <w:szCs w:val="22"/>
        </w:rPr>
        <w:t xml:space="preserve">the material component </w:t>
      </w:r>
      <w:bookmarkEnd w:id="88"/>
      <w:r w:rsidRPr="008820ED">
        <w:rPr>
          <w:sz w:val="22"/>
          <w:szCs w:val="22"/>
        </w:rPr>
        <w:t xml:space="preserve">while its architectural style provides an expressive component. The key point to make, however, is that all assemblage components – whether material or expressive – exist </w:t>
      </w:r>
      <w:r w:rsidRPr="008820ED">
        <w:rPr>
          <w:sz w:val="22"/>
          <w:szCs w:val="22"/>
        </w:rPr>
        <w:lastRenderedPageBreak/>
        <w:t xml:space="preserve">in a connective alliance. With this is mind, the components which triggered an initial interest in the properties are set-out in </w:t>
      </w:r>
      <w:r w:rsidRPr="008820ED">
        <w:rPr>
          <w:bCs/>
          <w:sz w:val="22"/>
          <w:szCs w:val="22"/>
        </w:rPr>
        <w:t>Table 2</w:t>
      </w:r>
      <w:r w:rsidRPr="008820ED">
        <w:rPr>
          <w:sz w:val="22"/>
          <w:szCs w:val="22"/>
        </w:rPr>
        <w:t xml:space="preserve">.  </w:t>
      </w:r>
    </w:p>
    <w:p w14:paraId="4029DBB2" w14:textId="77777777" w:rsidR="008820ED" w:rsidRPr="008820ED" w:rsidRDefault="008820ED" w:rsidP="008820ED">
      <w:pPr>
        <w:jc w:val="both"/>
        <w:rPr>
          <w:sz w:val="22"/>
          <w:szCs w:val="22"/>
        </w:rPr>
      </w:pPr>
      <w:bookmarkStart w:id="89" w:name="_Hlk82159722"/>
      <w:r w:rsidRPr="008820ED">
        <w:rPr>
          <w:b/>
          <w:bCs/>
          <w:sz w:val="22"/>
          <w:szCs w:val="22"/>
        </w:rPr>
        <w:t xml:space="preserve">Table 2: Components </w:t>
      </w:r>
      <w:bookmarkStart w:id="90" w:name="_Hlk83052067"/>
      <w:r w:rsidRPr="008820ED">
        <w:rPr>
          <w:b/>
          <w:bCs/>
          <w:sz w:val="22"/>
          <w:szCs w:val="22"/>
        </w:rPr>
        <w:t>triggering interest</w:t>
      </w:r>
      <w:bookmarkEnd w:id="89"/>
      <w:bookmarkEnd w:id="90"/>
    </w:p>
    <w:tbl>
      <w:tblPr>
        <w:tblStyle w:val="TableGrid"/>
        <w:tblW w:w="0" w:type="auto"/>
        <w:tblLook w:val="04A0" w:firstRow="1" w:lastRow="0" w:firstColumn="1" w:lastColumn="0" w:noHBand="0" w:noVBand="1"/>
      </w:tblPr>
      <w:tblGrid>
        <w:gridCol w:w="9016"/>
      </w:tblGrid>
      <w:tr w:rsidR="008820ED" w:rsidRPr="008820ED" w14:paraId="0524EDEF" w14:textId="77777777" w:rsidTr="00CA1BBF">
        <w:tc>
          <w:tcPr>
            <w:tcW w:w="9016" w:type="dxa"/>
          </w:tcPr>
          <w:p w14:paraId="20DE2457" w14:textId="77777777" w:rsidR="008820ED" w:rsidRPr="008820ED" w:rsidRDefault="008820ED" w:rsidP="00CA1BBF">
            <w:pPr>
              <w:jc w:val="both"/>
              <w:rPr>
                <w:sz w:val="22"/>
                <w:szCs w:val="22"/>
              </w:rPr>
            </w:pPr>
            <w:r w:rsidRPr="008820ED">
              <w:rPr>
                <w:sz w:val="22"/>
                <w:szCs w:val="22"/>
              </w:rPr>
              <w:t>Attractiveness of the building</w:t>
            </w:r>
            <w:bookmarkStart w:id="91" w:name="_Hlk83723362"/>
            <w:r w:rsidRPr="008820ED">
              <w:rPr>
                <w:sz w:val="22"/>
                <w:szCs w:val="22"/>
              </w:rPr>
              <w:t xml:space="preserve">, including period architecture </w:t>
            </w:r>
            <w:bookmarkEnd w:id="91"/>
            <w:r w:rsidRPr="008820ED">
              <w:rPr>
                <w:sz w:val="22"/>
                <w:szCs w:val="22"/>
              </w:rPr>
              <w:t>A01, C01, C02, E01</w:t>
            </w:r>
          </w:p>
        </w:tc>
      </w:tr>
      <w:tr w:rsidR="008820ED" w:rsidRPr="008820ED" w14:paraId="4DA97744" w14:textId="77777777" w:rsidTr="00CA1BBF">
        <w:tc>
          <w:tcPr>
            <w:tcW w:w="9016" w:type="dxa"/>
          </w:tcPr>
          <w:p w14:paraId="74C89282" w14:textId="77777777" w:rsidR="008820ED" w:rsidRPr="008820ED" w:rsidRDefault="008820ED" w:rsidP="00CA1BBF">
            <w:pPr>
              <w:jc w:val="both"/>
              <w:rPr>
                <w:sz w:val="22"/>
                <w:szCs w:val="22"/>
              </w:rPr>
            </w:pPr>
            <w:r w:rsidRPr="008820ED">
              <w:rPr>
                <w:sz w:val="22"/>
                <w:szCs w:val="22"/>
              </w:rPr>
              <w:t>Plentiful floorspace A02, B02, C02</w:t>
            </w:r>
          </w:p>
        </w:tc>
      </w:tr>
      <w:tr w:rsidR="008820ED" w:rsidRPr="008820ED" w14:paraId="408C18A6" w14:textId="77777777" w:rsidTr="00CA1BBF">
        <w:tc>
          <w:tcPr>
            <w:tcW w:w="9016" w:type="dxa"/>
          </w:tcPr>
          <w:p w14:paraId="79515739" w14:textId="77777777" w:rsidR="008820ED" w:rsidRPr="008820ED" w:rsidRDefault="008820ED" w:rsidP="00CA1BBF">
            <w:pPr>
              <w:jc w:val="both"/>
              <w:rPr>
                <w:sz w:val="22"/>
                <w:szCs w:val="22"/>
              </w:rPr>
            </w:pPr>
            <w:bookmarkStart w:id="92" w:name="_Hlk83724592"/>
            <w:r w:rsidRPr="008820ED">
              <w:rPr>
                <w:sz w:val="22"/>
                <w:szCs w:val="22"/>
              </w:rPr>
              <w:t xml:space="preserve">Multiple access/egress points (enabling subdivision) A01, A02, </w:t>
            </w:r>
            <w:r w:rsidRPr="008820ED">
              <w:rPr>
                <w:bCs/>
                <w:sz w:val="22"/>
                <w:szCs w:val="22"/>
              </w:rPr>
              <w:t>B02b</w:t>
            </w:r>
            <w:r w:rsidRPr="008820ED">
              <w:rPr>
                <w:sz w:val="22"/>
                <w:szCs w:val="22"/>
              </w:rPr>
              <w:t>, D01</w:t>
            </w:r>
          </w:p>
        </w:tc>
      </w:tr>
      <w:bookmarkEnd w:id="92"/>
      <w:tr w:rsidR="008820ED" w:rsidRPr="008820ED" w14:paraId="1308DEEA" w14:textId="77777777" w:rsidTr="00CA1BBF">
        <w:tc>
          <w:tcPr>
            <w:tcW w:w="9016" w:type="dxa"/>
          </w:tcPr>
          <w:p w14:paraId="599A645B" w14:textId="77777777" w:rsidR="008820ED" w:rsidRPr="008820ED" w:rsidRDefault="008820ED" w:rsidP="00CA1BBF">
            <w:pPr>
              <w:jc w:val="both"/>
              <w:rPr>
                <w:sz w:val="22"/>
                <w:szCs w:val="22"/>
              </w:rPr>
            </w:pPr>
            <w:r w:rsidRPr="008820ED">
              <w:rPr>
                <w:sz w:val="22"/>
                <w:szCs w:val="22"/>
              </w:rPr>
              <w:t xml:space="preserve">Seemingly adaptable building A01, A02, D01 </w:t>
            </w:r>
          </w:p>
        </w:tc>
      </w:tr>
      <w:tr w:rsidR="008820ED" w:rsidRPr="008820ED" w14:paraId="3103B904" w14:textId="77777777" w:rsidTr="00CA1BBF">
        <w:tc>
          <w:tcPr>
            <w:tcW w:w="9016" w:type="dxa"/>
          </w:tcPr>
          <w:p w14:paraId="565C610B" w14:textId="77777777" w:rsidR="008820ED" w:rsidRPr="008820ED" w:rsidRDefault="008820ED" w:rsidP="00CA1BBF">
            <w:pPr>
              <w:jc w:val="both"/>
              <w:rPr>
                <w:sz w:val="22"/>
                <w:szCs w:val="22"/>
                <w:lang w:val="fr-FR"/>
              </w:rPr>
            </w:pPr>
            <w:bookmarkStart w:id="93" w:name="_Hlk83399541"/>
            <w:bookmarkStart w:id="94" w:name="_Hlk83756901"/>
            <w:proofErr w:type="spellStart"/>
            <w:r w:rsidRPr="008820ED">
              <w:rPr>
                <w:sz w:val="22"/>
                <w:szCs w:val="22"/>
                <w:lang w:val="fr-FR"/>
              </w:rPr>
              <w:t>Prominent</w:t>
            </w:r>
            <w:proofErr w:type="spellEnd"/>
            <w:r w:rsidRPr="008820ED">
              <w:rPr>
                <w:sz w:val="22"/>
                <w:szCs w:val="22"/>
                <w:lang w:val="fr-FR"/>
              </w:rPr>
              <w:t xml:space="preserve">, visible location A02, B02, </w:t>
            </w:r>
            <w:r w:rsidRPr="008820ED">
              <w:rPr>
                <w:bCs/>
                <w:sz w:val="22"/>
                <w:szCs w:val="22"/>
                <w:lang w:val="fr-FR"/>
              </w:rPr>
              <w:t>B02b,</w:t>
            </w:r>
            <w:r w:rsidRPr="008820ED">
              <w:rPr>
                <w:sz w:val="22"/>
                <w:szCs w:val="22"/>
                <w:lang w:val="fr-FR"/>
              </w:rPr>
              <w:t xml:space="preserve"> </w:t>
            </w:r>
            <w:proofErr w:type="gramStart"/>
            <w:r w:rsidRPr="008820ED">
              <w:rPr>
                <w:sz w:val="22"/>
                <w:szCs w:val="22"/>
                <w:lang w:val="fr-FR"/>
              </w:rPr>
              <w:t>C02</w:t>
            </w:r>
            <w:bookmarkEnd w:id="93"/>
            <w:proofErr w:type="gramEnd"/>
            <w:r w:rsidRPr="008820ED">
              <w:rPr>
                <w:sz w:val="22"/>
                <w:szCs w:val="22"/>
                <w:lang w:val="fr-FR"/>
              </w:rPr>
              <w:t xml:space="preserve"> </w:t>
            </w:r>
            <w:bookmarkEnd w:id="94"/>
          </w:p>
        </w:tc>
      </w:tr>
      <w:tr w:rsidR="008820ED" w:rsidRPr="008820ED" w14:paraId="2DD0B67A" w14:textId="77777777" w:rsidTr="00CA1BBF">
        <w:tc>
          <w:tcPr>
            <w:tcW w:w="9016" w:type="dxa"/>
          </w:tcPr>
          <w:p w14:paraId="76DD9602" w14:textId="77777777" w:rsidR="008820ED" w:rsidRPr="008820ED" w:rsidRDefault="008820ED" w:rsidP="00CA1BBF">
            <w:pPr>
              <w:jc w:val="both"/>
              <w:rPr>
                <w:sz w:val="22"/>
                <w:szCs w:val="22"/>
              </w:rPr>
            </w:pPr>
            <w:r w:rsidRPr="008820ED">
              <w:rPr>
                <w:sz w:val="22"/>
                <w:szCs w:val="22"/>
              </w:rPr>
              <w:t xml:space="preserve">Strong, robust building A01, D01 </w:t>
            </w:r>
          </w:p>
        </w:tc>
      </w:tr>
      <w:tr w:rsidR="008820ED" w:rsidRPr="008820ED" w14:paraId="69166B54" w14:textId="77777777" w:rsidTr="00CA1BBF">
        <w:tc>
          <w:tcPr>
            <w:tcW w:w="9016" w:type="dxa"/>
          </w:tcPr>
          <w:p w14:paraId="3AF52197" w14:textId="77777777" w:rsidR="008820ED" w:rsidRPr="008820ED" w:rsidRDefault="008820ED" w:rsidP="00CA1BBF">
            <w:pPr>
              <w:jc w:val="both"/>
              <w:rPr>
                <w:sz w:val="22"/>
                <w:szCs w:val="22"/>
              </w:rPr>
            </w:pPr>
            <w:r w:rsidRPr="008820ED">
              <w:rPr>
                <w:sz w:val="22"/>
                <w:szCs w:val="22"/>
              </w:rPr>
              <w:t>Good price D01, E01</w:t>
            </w:r>
          </w:p>
        </w:tc>
      </w:tr>
      <w:tr w:rsidR="008820ED" w:rsidRPr="008820ED" w14:paraId="2342B1AD" w14:textId="77777777" w:rsidTr="00CA1BBF">
        <w:tc>
          <w:tcPr>
            <w:tcW w:w="9016" w:type="dxa"/>
          </w:tcPr>
          <w:p w14:paraId="1C206EAD" w14:textId="77777777" w:rsidR="008820ED" w:rsidRPr="008820ED" w:rsidRDefault="008820ED" w:rsidP="00CA1BBF">
            <w:pPr>
              <w:jc w:val="both"/>
              <w:rPr>
                <w:sz w:val="22"/>
                <w:szCs w:val="22"/>
              </w:rPr>
            </w:pPr>
            <w:r w:rsidRPr="008820ED">
              <w:rPr>
                <w:sz w:val="22"/>
                <w:szCs w:val="22"/>
              </w:rPr>
              <w:t xml:space="preserve">Locally iconic building A02, C02 </w:t>
            </w:r>
          </w:p>
        </w:tc>
      </w:tr>
    </w:tbl>
    <w:p w14:paraId="50A6F09F" w14:textId="77777777" w:rsidR="008820ED" w:rsidRPr="008820ED" w:rsidRDefault="008820ED" w:rsidP="008820ED">
      <w:pPr>
        <w:jc w:val="both"/>
        <w:rPr>
          <w:b/>
          <w:bCs/>
          <w:color w:val="FF0000"/>
          <w:sz w:val="22"/>
          <w:szCs w:val="22"/>
        </w:rPr>
      </w:pPr>
    </w:p>
    <w:p w14:paraId="2F69D523" w14:textId="77777777" w:rsidR="008820ED" w:rsidRPr="008820ED" w:rsidRDefault="008820ED" w:rsidP="008820ED">
      <w:pPr>
        <w:jc w:val="both"/>
        <w:rPr>
          <w:rFonts w:eastAsia="Calibri"/>
          <w:sz w:val="22"/>
          <w:szCs w:val="22"/>
        </w:rPr>
      </w:pPr>
      <w:r w:rsidRPr="008820ED">
        <w:rPr>
          <w:sz w:val="22"/>
          <w:szCs w:val="22"/>
        </w:rPr>
        <w:t>The components set out in Table 2 refer to the potential seen by the owners/occupiers in each property,</w:t>
      </w:r>
      <w:bookmarkStart w:id="95" w:name="_Hlk83727297"/>
      <w:r w:rsidRPr="008820ED">
        <w:rPr>
          <w:sz w:val="22"/>
          <w:szCs w:val="22"/>
        </w:rPr>
        <w:t xml:space="preserve"> largely – though not entirely – in terms of the ways they could occupy its space: its material content. </w:t>
      </w:r>
      <w:bookmarkEnd w:id="95"/>
      <w:r w:rsidRPr="008820ED">
        <w:rPr>
          <w:sz w:val="22"/>
          <w:szCs w:val="22"/>
        </w:rPr>
        <w:t xml:space="preserve">For example, an internal space free of architectural ornament appealed, “so when you're [planning on] ripping the guts out of a building … you could do that there” (A03).  </w:t>
      </w:r>
      <w:r w:rsidRPr="008820ED">
        <w:rPr>
          <w:rFonts w:eastAsia="Calibri"/>
          <w:sz w:val="22"/>
          <w:szCs w:val="22"/>
        </w:rPr>
        <w:t>Given the paper is interested in how decisions over repurposing vacated space are shaped by property-related factors, it is beneficial to give more nuance to Table 2.  For example, while it was highlighted that multiple access/egress points to enable subdivisions of the overall building, the building’s ability to accommodate attendant reception areas is also a factor (A01). While multiple access/egress points may enable the sub-division of a property, other uses often cannot operate within a single building due to security concerns because “</w:t>
      </w:r>
      <w:r w:rsidRPr="008820ED">
        <w:rPr>
          <w:rFonts w:eastAsia="Calibri"/>
          <w:i/>
          <w:iCs/>
          <w:sz w:val="22"/>
          <w:szCs w:val="22"/>
        </w:rPr>
        <w:t>you’d be amazed what people will do: drilling through walls and floors”</w:t>
      </w:r>
      <w:r w:rsidRPr="008820ED">
        <w:rPr>
          <w:rFonts w:eastAsia="Calibri"/>
          <w:sz w:val="22"/>
          <w:szCs w:val="22"/>
        </w:rPr>
        <w:t xml:space="preserve"> (</w:t>
      </w:r>
      <w:r w:rsidRPr="008820ED">
        <w:rPr>
          <w:rFonts w:eastAsia="Calibri"/>
          <w:bCs/>
          <w:sz w:val="22"/>
          <w:szCs w:val="22"/>
        </w:rPr>
        <w:t>B02b</w:t>
      </w:r>
      <w:r w:rsidRPr="008820ED">
        <w:rPr>
          <w:rFonts w:eastAsia="Calibri"/>
          <w:sz w:val="22"/>
          <w:szCs w:val="22"/>
        </w:rPr>
        <w:t>).</w:t>
      </w:r>
    </w:p>
    <w:p w14:paraId="0A225D3C" w14:textId="77777777" w:rsidR="008820ED" w:rsidRPr="008820ED" w:rsidRDefault="008820ED" w:rsidP="008820ED">
      <w:pPr>
        <w:jc w:val="both"/>
        <w:rPr>
          <w:rFonts w:eastAsia="Calibri"/>
          <w:sz w:val="22"/>
          <w:szCs w:val="22"/>
        </w:rPr>
      </w:pPr>
    </w:p>
    <w:p w14:paraId="635F7F24" w14:textId="77777777" w:rsidR="008820ED" w:rsidRPr="008820ED" w:rsidRDefault="008820ED" w:rsidP="008820ED">
      <w:pPr>
        <w:jc w:val="both"/>
        <w:rPr>
          <w:rFonts w:eastAsia="Calibri"/>
          <w:sz w:val="22"/>
          <w:szCs w:val="22"/>
        </w:rPr>
      </w:pPr>
      <w:r w:rsidRPr="008820ED">
        <w:rPr>
          <w:rFonts w:eastAsia="Calibri"/>
          <w:sz w:val="22"/>
          <w:szCs w:val="22"/>
        </w:rPr>
        <w:t xml:space="preserve">The simplicity of internal space was only highlighted by one owner, not because this is not an unvalued attribute, but because most of the case study properties did not offer a simple space, but spaces plagued by idiosyncrasies after years of use and alterations. Similarly, while only one interviewee (D01) referred to plentiful natural light as something which triggered their interest in a property, again, this does not mean natural light is not a valued attribute. Rather it reflects the fact that, for five interviewees (A01, A02, A03, C04, D07) across three properties, there was no natural light because the windows had been blacked-out to accommodate retail servicing areas, </w:t>
      </w:r>
      <w:proofErr w:type="gramStart"/>
      <w:r w:rsidRPr="008820ED">
        <w:rPr>
          <w:rFonts w:eastAsia="Calibri"/>
          <w:sz w:val="22"/>
          <w:szCs w:val="22"/>
        </w:rPr>
        <w:t>storage</w:t>
      </w:r>
      <w:proofErr w:type="gramEnd"/>
      <w:r w:rsidRPr="008820ED">
        <w:rPr>
          <w:rFonts w:eastAsia="Calibri"/>
          <w:sz w:val="22"/>
          <w:szCs w:val="22"/>
        </w:rPr>
        <w:t xml:space="preserve"> and partitioning.  </w:t>
      </w:r>
    </w:p>
    <w:p w14:paraId="619D78B2" w14:textId="77777777" w:rsidR="008820ED" w:rsidRPr="008820ED" w:rsidRDefault="008820ED" w:rsidP="008820ED">
      <w:pPr>
        <w:jc w:val="both"/>
        <w:rPr>
          <w:b/>
          <w:bCs/>
          <w:sz w:val="22"/>
          <w:szCs w:val="22"/>
        </w:rPr>
      </w:pPr>
    </w:p>
    <w:p w14:paraId="712C1EBA" w14:textId="77777777" w:rsidR="008820ED" w:rsidRPr="008820ED" w:rsidRDefault="008820ED" w:rsidP="008820ED">
      <w:pPr>
        <w:jc w:val="both"/>
        <w:rPr>
          <w:b/>
          <w:bCs/>
          <w:sz w:val="22"/>
          <w:szCs w:val="22"/>
        </w:rPr>
      </w:pPr>
      <w:r w:rsidRPr="008820ED">
        <w:rPr>
          <w:b/>
          <w:bCs/>
          <w:sz w:val="22"/>
          <w:szCs w:val="22"/>
        </w:rPr>
        <w:t xml:space="preserve">Phase Transitions </w:t>
      </w:r>
    </w:p>
    <w:p w14:paraId="44A3AC26" w14:textId="77777777" w:rsidR="008820ED" w:rsidRPr="008820ED" w:rsidRDefault="008820ED" w:rsidP="008820ED">
      <w:pPr>
        <w:jc w:val="both"/>
        <w:rPr>
          <w:sz w:val="22"/>
          <w:szCs w:val="22"/>
        </w:rPr>
      </w:pPr>
      <w:r w:rsidRPr="008820ED">
        <w:rPr>
          <w:sz w:val="22"/>
          <w:szCs w:val="22"/>
        </w:rPr>
        <w:t xml:space="preserve">In Table 2, two of the case study properties were identified as being locally iconic.  This is of interest because assemblage theory offers understanding of place through its development, giving a broad image of ‘place’ as undergoing phase transitions as the nature of that place changes.  Indeed, nostalgia and warmth regarding previous uses of the case study properties were expressed by seven interviewees (A05, B02, C01, C02, C03, D04, D07) including: </w:t>
      </w:r>
    </w:p>
    <w:p w14:paraId="560FFAE8" w14:textId="77777777" w:rsidR="008820ED" w:rsidRPr="008820ED" w:rsidRDefault="008820ED" w:rsidP="008820ED">
      <w:pPr>
        <w:ind w:left="284" w:right="284"/>
        <w:jc w:val="both"/>
        <w:rPr>
          <w:sz w:val="22"/>
          <w:szCs w:val="22"/>
        </w:rPr>
      </w:pPr>
      <w:r w:rsidRPr="008820ED">
        <w:rPr>
          <w:sz w:val="22"/>
          <w:szCs w:val="22"/>
        </w:rPr>
        <w:t>“</w:t>
      </w:r>
      <w:r w:rsidRPr="008820ED">
        <w:rPr>
          <w:i/>
          <w:iCs/>
          <w:sz w:val="22"/>
          <w:szCs w:val="22"/>
        </w:rPr>
        <w:t>There’s quite a lot of nostalgia around the re-emergence of the building … people have a lot of nostalgia around that building because it’s been around for a long time, and have recollections of family days, and Christmas grottos, and all the rest of it.  It held quite a big part of people’s hearts.</w:t>
      </w:r>
      <w:r w:rsidRPr="008820ED">
        <w:rPr>
          <w:sz w:val="22"/>
          <w:szCs w:val="22"/>
        </w:rPr>
        <w:t>”</w:t>
      </w:r>
    </w:p>
    <w:p w14:paraId="3E196C99" w14:textId="77777777" w:rsidR="008820ED" w:rsidRPr="008820ED" w:rsidRDefault="008820ED" w:rsidP="008820ED">
      <w:pPr>
        <w:ind w:left="284" w:right="284"/>
        <w:jc w:val="both"/>
        <w:rPr>
          <w:sz w:val="22"/>
          <w:szCs w:val="22"/>
        </w:rPr>
      </w:pPr>
    </w:p>
    <w:p w14:paraId="70680D02" w14:textId="77777777" w:rsidR="008820ED" w:rsidRPr="008820ED" w:rsidRDefault="008820ED" w:rsidP="008820ED">
      <w:pPr>
        <w:jc w:val="both"/>
        <w:rPr>
          <w:sz w:val="22"/>
          <w:szCs w:val="22"/>
        </w:rPr>
      </w:pPr>
      <w:r w:rsidRPr="008820ED">
        <w:rPr>
          <w:sz w:val="22"/>
          <w:szCs w:val="22"/>
        </w:rPr>
        <w:t xml:space="preserve">The interviewee data suggests that, when a place undergoes </w:t>
      </w:r>
      <w:bookmarkStart w:id="96" w:name="_Hlk83728836"/>
      <w:r w:rsidRPr="008820ED">
        <w:rPr>
          <w:sz w:val="22"/>
          <w:szCs w:val="22"/>
        </w:rPr>
        <w:t xml:space="preserve">phase transitions, </w:t>
      </w:r>
      <w:bookmarkEnd w:id="96"/>
      <w:r w:rsidRPr="008820ED">
        <w:rPr>
          <w:sz w:val="22"/>
          <w:szCs w:val="22"/>
        </w:rPr>
        <w:t xml:space="preserve">it does not appear to leave its symbolic expression of the previous phase fully behind, indicating that, in repurposing schemes, it is beneficial to redevelop properties with former good memories, such as certain department stores. Moreover, the study suggests that starting from ‘no use’ makes repurposing more difficult. Indeed, for the case study property which had stood empty, long term, as a previously ‘unknown’ property, its repurposing efforts were contrasted with the fact that:   </w:t>
      </w:r>
    </w:p>
    <w:p w14:paraId="62C8075A" w14:textId="77777777" w:rsidR="008820ED" w:rsidRPr="008820ED" w:rsidRDefault="008820ED" w:rsidP="008820ED">
      <w:pPr>
        <w:ind w:left="284" w:right="284"/>
        <w:jc w:val="both"/>
        <w:rPr>
          <w:sz w:val="22"/>
          <w:szCs w:val="22"/>
        </w:rPr>
      </w:pPr>
      <w:r w:rsidRPr="008820ED">
        <w:rPr>
          <w:i/>
          <w:iCs/>
          <w:sz w:val="22"/>
          <w:szCs w:val="22"/>
        </w:rPr>
        <w:t xml:space="preserve">“We've got a vacant Debenhams in the city </w:t>
      </w:r>
      <w:proofErr w:type="spellStart"/>
      <w:r w:rsidRPr="008820ED">
        <w:rPr>
          <w:i/>
          <w:iCs/>
          <w:sz w:val="22"/>
          <w:szCs w:val="22"/>
        </w:rPr>
        <w:t>centre</w:t>
      </w:r>
      <w:proofErr w:type="spellEnd"/>
      <w:r w:rsidRPr="008820ED">
        <w:rPr>
          <w:i/>
          <w:iCs/>
          <w:sz w:val="22"/>
          <w:szCs w:val="22"/>
        </w:rPr>
        <w:t xml:space="preserve"> </w:t>
      </w:r>
      <w:proofErr w:type="gramStart"/>
      <w:r w:rsidRPr="008820ED">
        <w:rPr>
          <w:i/>
          <w:iCs/>
          <w:sz w:val="22"/>
          <w:szCs w:val="22"/>
        </w:rPr>
        <w:t>at the moment</w:t>
      </w:r>
      <w:proofErr w:type="gramEnd"/>
      <w:r w:rsidRPr="008820ED">
        <w:rPr>
          <w:i/>
          <w:iCs/>
          <w:sz w:val="22"/>
          <w:szCs w:val="22"/>
        </w:rPr>
        <w:t xml:space="preserve">, to redevelop that and repurpose it, everybody would know about it, because it's the old Debenhams unit.  But … [our scheme] in the city </w:t>
      </w:r>
      <w:proofErr w:type="spellStart"/>
      <w:r w:rsidRPr="008820ED">
        <w:rPr>
          <w:i/>
          <w:iCs/>
          <w:sz w:val="22"/>
          <w:szCs w:val="22"/>
        </w:rPr>
        <w:t>centre</w:t>
      </w:r>
      <w:proofErr w:type="spellEnd"/>
      <w:r w:rsidRPr="008820ED">
        <w:rPr>
          <w:i/>
          <w:iCs/>
          <w:sz w:val="22"/>
          <w:szCs w:val="22"/>
        </w:rPr>
        <w:t xml:space="preserve"> that nobody knew about [because it had been empty, long term], to try and promote that, and for people to understand where that is, it's a hard job.  So, you may make it into a brilliant scheme, but you've got to get the public to find out about it”</w:t>
      </w:r>
      <w:r w:rsidRPr="008820ED">
        <w:rPr>
          <w:sz w:val="22"/>
          <w:szCs w:val="22"/>
        </w:rPr>
        <w:t xml:space="preserve"> (E06).</w:t>
      </w:r>
    </w:p>
    <w:p w14:paraId="2ECEEAD4" w14:textId="77777777" w:rsidR="008820ED" w:rsidRPr="008820ED" w:rsidRDefault="008820ED" w:rsidP="008820ED">
      <w:pPr>
        <w:ind w:right="284"/>
        <w:jc w:val="both"/>
        <w:rPr>
          <w:sz w:val="22"/>
          <w:szCs w:val="22"/>
        </w:rPr>
      </w:pPr>
    </w:p>
    <w:p w14:paraId="53138667" w14:textId="77777777" w:rsidR="008820ED" w:rsidRPr="008820ED" w:rsidRDefault="008820ED" w:rsidP="008820ED">
      <w:pPr>
        <w:jc w:val="both"/>
        <w:rPr>
          <w:color w:val="0000FF"/>
          <w:sz w:val="22"/>
          <w:szCs w:val="22"/>
        </w:rPr>
      </w:pPr>
      <w:r w:rsidRPr="008820ED">
        <w:rPr>
          <w:sz w:val="22"/>
          <w:szCs w:val="22"/>
        </w:rPr>
        <w:t>This illustrates how potential owners/occupiers are drawn to prominent, visible positions when considering investing in a building. However, more than a prominent position, the interview data suggests it is also beneficial to re-use a building which has some prominence in people’s minds.  In this way, repurposing a recently vacated mall or department store assists change.</w:t>
      </w:r>
      <w:r w:rsidRPr="008820ED">
        <w:rPr>
          <w:color w:val="0000FF"/>
          <w:sz w:val="22"/>
          <w:szCs w:val="22"/>
        </w:rPr>
        <w:t xml:space="preserve"> </w:t>
      </w:r>
    </w:p>
    <w:p w14:paraId="2F1810E2" w14:textId="77777777" w:rsidR="008820ED" w:rsidRPr="008820ED" w:rsidRDefault="008820ED" w:rsidP="008820ED">
      <w:pPr>
        <w:jc w:val="both"/>
        <w:rPr>
          <w:color w:val="0000FF"/>
          <w:sz w:val="22"/>
          <w:szCs w:val="22"/>
        </w:rPr>
      </w:pPr>
    </w:p>
    <w:p w14:paraId="494C846B" w14:textId="77777777" w:rsidR="008820ED" w:rsidRPr="008820ED" w:rsidRDefault="008820ED" w:rsidP="008820ED">
      <w:pPr>
        <w:jc w:val="both"/>
        <w:rPr>
          <w:b/>
          <w:bCs/>
          <w:sz w:val="22"/>
          <w:szCs w:val="22"/>
        </w:rPr>
      </w:pPr>
      <w:bookmarkStart w:id="97" w:name="_Hlk83654399"/>
      <w:r w:rsidRPr="008820ED">
        <w:rPr>
          <w:b/>
          <w:bCs/>
          <w:sz w:val="22"/>
          <w:szCs w:val="22"/>
        </w:rPr>
        <w:t>Gestural (expressive) buildings</w:t>
      </w:r>
    </w:p>
    <w:bookmarkEnd w:id="97"/>
    <w:p w14:paraId="1780E04E" w14:textId="77777777" w:rsidR="008820ED" w:rsidRPr="008820ED" w:rsidRDefault="008820ED" w:rsidP="008820ED">
      <w:pPr>
        <w:jc w:val="both"/>
        <w:rPr>
          <w:sz w:val="22"/>
          <w:szCs w:val="22"/>
          <w:lang w:eastAsia="en-GB"/>
        </w:rPr>
      </w:pPr>
      <w:r w:rsidRPr="008820ED">
        <w:rPr>
          <w:sz w:val="22"/>
          <w:szCs w:val="22"/>
        </w:rPr>
        <w:t xml:space="preserve">Given the case study </w:t>
      </w:r>
      <w:r w:rsidRPr="008820ED">
        <w:rPr>
          <w:sz w:val="22"/>
          <w:szCs w:val="22"/>
          <w:lang w:eastAsia="en-GB"/>
        </w:rPr>
        <w:t xml:space="preserve">repurposed </w:t>
      </w:r>
      <w:r w:rsidRPr="008820ED">
        <w:rPr>
          <w:sz w:val="22"/>
          <w:szCs w:val="22"/>
        </w:rPr>
        <w:t>buildings are not purpose built</w:t>
      </w:r>
      <w:r w:rsidRPr="008820ED">
        <w:rPr>
          <w:sz w:val="22"/>
          <w:szCs w:val="22"/>
          <w:lang w:eastAsia="en-GB"/>
        </w:rPr>
        <w:t xml:space="preserve">, from the street, it is not easy to ‘read’ their architecture to ascertain their current function/s.      </w:t>
      </w:r>
    </w:p>
    <w:p w14:paraId="4629C53C" w14:textId="77777777" w:rsidR="008820ED" w:rsidRPr="008820ED" w:rsidRDefault="008820ED" w:rsidP="008820ED">
      <w:pPr>
        <w:ind w:left="284" w:right="284"/>
        <w:jc w:val="both"/>
        <w:rPr>
          <w:sz w:val="22"/>
          <w:szCs w:val="22"/>
          <w:lang w:eastAsia="en-GB"/>
        </w:rPr>
      </w:pPr>
      <w:r w:rsidRPr="008820ED">
        <w:rPr>
          <w:sz w:val="22"/>
          <w:szCs w:val="22"/>
          <w:lang w:eastAsia="en-GB"/>
        </w:rPr>
        <w:t>“</w:t>
      </w:r>
      <w:r w:rsidRPr="008820ED">
        <w:rPr>
          <w:i/>
          <w:iCs/>
          <w:sz w:val="22"/>
          <w:szCs w:val="22"/>
          <w:lang w:eastAsia="en-GB"/>
        </w:rPr>
        <w:t xml:space="preserve">You're trying to change something, and then once you've done it, you're trying to let people know you've done it.  You need to </w:t>
      </w:r>
      <w:bookmarkStart w:id="98" w:name="_Hlk83650360"/>
      <w:proofErr w:type="spellStart"/>
      <w:r w:rsidRPr="008820ED">
        <w:rPr>
          <w:i/>
          <w:iCs/>
          <w:sz w:val="22"/>
          <w:szCs w:val="22"/>
          <w:lang w:eastAsia="en-GB"/>
        </w:rPr>
        <w:t>externalise</w:t>
      </w:r>
      <w:proofErr w:type="spellEnd"/>
      <w:r w:rsidRPr="008820ED">
        <w:rPr>
          <w:i/>
          <w:iCs/>
          <w:sz w:val="22"/>
          <w:szCs w:val="22"/>
          <w:lang w:eastAsia="en-GB"/>
        </w:rPr>
        <w:t xml:space="preserve"> that at some stage </w:t>
      </w:r>
      <w:bookmarkEnd w:id="98"/>
      <w:proofErr w:type="gramStart"/>
      <w:r w:rsidRPr="008820ED">
        <w:rPr>
          <w:i/>
          <w:iCs/>
          <w:sz w:val="22"/>
          <w:szCs w:val="22"/>
          <w:lang w:eastAsia="en-GB"/>
        </w:rPr>
        <w:t>... .</w:t>
      </w:r>
      <w:proofErr w:type="gramEnd"/>
      <w:r w:rsidRPr="008820ED">
        <w:rPr>
          <w:i/>
          <w:iCs/>
          <w:sz w:val="22"/>
          <w:szCs w:val="22"/>
          <w:lang w:eastAsia="en-GB"/>
        </w:rPr>
        <w:t xml:space="preserve">   You change the use, but then how do </w:t>
      </w:r>
      <w:bookmarkStart w:id="99" w:name="_Hlk83737855"/>
      <w:r w:rsidRPr="008820ED">
        <w:rPr>
          <w:i/>
          <w:iCs/>
          <w:sz w:val="22"/>
          <w:szCs w:val="22"/>
          <w:lang w:eastAsia="en-GB"/>
        </w:rPr>
        <w:t>you articulate that externally</w:t>
      </w:r>
      <w:bookmarkEnd w:id="99"/>
      <w:r w:rsidRPr="008820ED">
        <w:rPr>
          <w:i/>
          <w:iCs/>
          <w:sz w:val="22"/>
          <w:szCs w:val="22"/>
          <w:lang w:eastAsia="en-GB"/>
        </w:rPr>
        <w:t>? … how [do] you explain to people what you've got?</w:t>
      </w:r>
      <w:r w:rsidRPr="008820ED">
        <w:rPr>
          <w:sz w:val="22"/>
          <w:szCs w:val="22"/>
          <w:lang w:eastAsia="en-GB"/>
        </w:rPr>
        <w:t xml:space="preserve">” (D01). </w:t>
      </w:r>
    </w:p>
    <w:p w14:paraId="4B8071C7" w14:textId="77777777" w:rsidR="008820ED" w:rsidRPr="008820ED" w:rsidRDefault="008820ED" w:rsidP="008820ED">
      <w:pPr>
        <w:jc w:val="both"/>
        <w:rPr>
          <w:sz w:val="22"/>
          <w:szCs w:val="22"/>
          <w:lang w:eastAsia="en-GB"/>
        </w:rPr>
      </w:pPr>
    </w:p>
    <w:p w14:paraId="1999B71D" w14:textId="77777777" w:rsidR="008820ED" w:rsidRPr="008820ED" w:rsidRDefault="008820ED" w:rsidP="008820ED">
      <w:pPr>
        <w:jc w:val="both"/>
        <w:rPr>
          <w:sz w:val="22"/>
          <w:szCs w:val="22"/>
          <w:lang w:eastAsia="en-GB"/>
        </w:rPr>
      </w:pPr>
      <w:r w:rsidRPr="008820ED">
        <w:rPr>
          <w:sz w:val="22"/>
          <w:szCs w:val="22"/>
          <w:lang w:eastAsia="en-GB"/>
        </w:rPr>
        <w:t>Therefore, repurposing schemes need to find ways of externally communicating internal change.  Signage is the most obvious way, but complicated by the conservation area designations whereby signage, “has to be quite discreet because it’s in a conservation area: you can’t have anything blingy” (E04). Problems coming to an agreement on appropriate signage were highlighted by most interviewees</w:t>
      </w:r>
      <w:r w:rsidRPr="008820ED">
        <w:rPr>
          <w:bCs/>
          <w:sz w:val="22"/>
          <w:szCs w:val="22"/>
        </w:rPr>
        <w:t>.</w:t>
      </w:r>
      <w:r w:rsidRPr="008820ED">
        <w:rPr>
          <w:b/>
          <w:bCs/>
          <w:sz w:val="22"/>
          <w:szCs w:val="22"/>
        </w:rPr>
        <w:t xml:space="preserve"> </w:t>
      </w:r>
      <w:r w:rsidRPr="008820ED">
        <w:rPr>
          <w:sz w:val="22"/>
          <w:szCs w:val="22"/>
        </w:rPr>
        <w:t xml:space="preserve">Signage was </w:t>
      </w:r>
      <w:r w:rsidRPr="008820ED">
        <w:rPr>
          <w:sz w:val="22"/>
          <w:szCs w:val="22"/>
          <w:lang w:eastAsia="en-GB"/>
        </w:rPr>
        <w:t xml:space="preserve">particularly a challenge for those properties which have been repurposed to house multiple uses/occupants. This included, for example, issues over the amount of permitted signage for properties with multiple occupiers: “you're only supposed to have one A-board, and although you could argue it's [one A-board] for each business …. the council have argued that it's one space” (E05). Moreover, where the signing of each business has been permitted, there remained an issue with perceived visual chaos, whereby, “no two logos are ever the same” (D07).  Overall, the issues raised about signing included the use of bright brand </w:t>
      </w:r>
      <w:proofErr w:type="spellStart"/>
      <w:r w:rsidRPr="008820ED">
        <w:rPr>
          <w:sz w:val="22"/>
          <w:szCs w:val="22"/>
          <w:lang w:eastAsia="en-GB"/>
        </w:rPr>
        <w:t>colours</w:t>
      </w:r>
      <w:proofErr w:type="spellEnd"/>
      <w:r w:rsidRPr="008820ED">
        <w:rPr>
          <w:sz w:val="22"/>
          <w:szCs w:val="22"/>
          <w:lang w:eastAsia="en-GB"/>
        </w:rPr>
        <w:t xml:space="preserve">, mix of logos, </w:t>
      </w:r>
      <w:proofErr w:type="gramStart"/>
      <w:r w:rsidRPr="008820ED">
        <w:rPr>
          <w:sz w:val="22"/>
          <w:szCs w:val="22"/>
          <w:lang w:eastAsia="en-GB"/>
        </w:rPr>
        <w:t>location</w:t>
      </w:r>
      <w:proofErr w:type="gramEnd"/>
      <w:r w:rsidRPr="008820ED">
        <w:rPr>
          <w:sz w:val="22"/>
          <w:szCs w:val="22"/>
          <w:lang w:eastAsia="en-GB"/>
        </w:rPr>
        <w:t xml:space="preserve"> and appropriate style (projecting, fascia, totem, banner, flag, arrow, neon, A-board, digital window display). Issues over style were exacerbated by the lack of traditional eternal shop fascia zones at some properties (D04, E04). </w:t>
      </w:r>
    </w:p>
    <w:p w14:paraId="39128284" w14:textId="77777777" w:rsidR="008820ED" w:rsidRPr="008820ED" w:rsidRDefault="008820ED" w:rsidP="008820ED">
      <w:pPr>
        <w:jc w:val="both"/>
        <w:rPr>
          <w:sz w:val="22"/>
          <w:szCs w:val="22"/>
          <w:lang w:eastAsia="en-GB"/>
        </w:rPr>
      </w:pPr>
    </w:p>
    <w:p w14:paraId="1625D786" w14:textId="77777777" w:rsidR="008820ED" w:rsidRPr="008820ED" w:rsidRDefault="008820ED" w:rsidP="008820ED">
      <w:pPr>
        <w:jc w:val="both"/>
        <w:rPr>
          <w:sz w:val="22"/>
          <w:szCs w:val="22"/>
          <w:lang w:eastAsia="en-GB"/>
        </w:rPr>
      </w:pPr>
      <w:r w:rsidRPr="008820ED">
        <w:rPr>
          <w:sz w:val="22"/>
          <w:szCs w:val="22"/>
          <w:lang w:eastAsia="en-GB"/>
        </w:rPr>
        <w:t>Given the paper’s focus on the role of buildings/spaces, in terms of achieving an external presence via ‘some other form’ than signage, the range of approaches are set out in Table 3. However, it is important to note that the problems around businesses within repurposed buildings achieving an external presence is exacerbated by the fact all five case studies are victims of their original design in some way: as an internal mall building, a banking establishment or former department stores. As such, the point was made that there is no real engagement unless you enter (C04, D01, D04).</w:t>
      </w:r>
    </w:p>
    <w:p w14:paraId="44C9F3CA" w14:textId="77777777" w:rsidR="008820ED" w:rsidRPr="008820ED" w:rsidRDefault="008820ED" w:rsidP="008820ED">
      <w:pPr>
        <w:jc w:val="both"/>
        <w:rPr>
          <w:sz w:val="22"/>
          <w:szCs w:val="22"/>
          <w:lang w:eastAsia="en-GB"/>
        </w:rPr>
      </w:pPr>
    </w:p>
    <w:p w14:paraId="129A6A7F" w14:textId="77777777" w:rsidR="008820ED" w:rsidRPr="008820ED" w:rsidRDefault="008820ED" w:rsidP="008820ED">
      <w:pPr>
        <w:jc w:val="both"/>
        <w:rPr>
          <w:b/>
          <w:bCs/>
          <w:sz w:val="22"/>
          <w:szCs w:val="22"/>
          <w:u w:val="single"/>
          <w:lang w:eastAsia="en-GB"/>
        </w:rPr>
      </w:pPr>
      <w:r w:rsidRPr="008820ED">
        <w:rPr>
          <w:b/>
          <w:bCs/>
          <w:sz w:val="22"/>
          <w:szCs w:val="22"/>
          <w:lang w:eastAsia="en-GB"/>
        </w:rPr>
        <w:t xml:space="preserve">Table 3: </w:t>
      </w:r>
      <w:bookmarkStart w:id="100" w:name="_Hlk83637522"/>
      <w:r w:rsidRPr="008820ED">
        <w:rPr>
          <w:b/>
          <w:bCs/>
          <w:sz w:val="22"/>
          <w:szCs w:val="22"/>
          <w:lang w:eastAsia="en-GB"/>
        </w:rPr>
        <w:t>externally communicating internal change</w:t>
      </w:r>
      <w:bookmarkEnd w:id="100"/>
    </w:p>
    <w:tbl>
      <w:tblPr>
        <w:tblStyle w:val="TableGrid"/>
        <w:tblW w:w="0" w:type="auto"/>
        <w:tblLook w:val="04A0" w:firstRow="1" w:lastRow="0" w:firstColumn="1" w:lastColumn="0" w:noHBand="0" w:noVBand="1"/>
      </w:tblPr>
      <w:tblGrid>
        <w:gridCol w:w="9016"/>
      </w:tblGrid>
      <w:tr w:rsidR="008820ED" w:rsidRPr="008820ED" w14:paraId="5DBB7865" w14:textId="77777777" w:rsidTr="00CA1BBF">
        <w:tc>
          <w:tcPr>
            <w:tcW w:w="9016" w:type="dxa"/>
          </w:tcPr>
          <w:p w14:paraId="48F44302" w14:textId="77777777" w:rsidR="008820ED" w:rsidRPr="008820ED" w:rsidRDefault="008820ED" w:rsidP="00CA1BBF">
            <w:pPr>
              <w:jc w:val="both"/>
              <w:rPr>
                <w:bCs/>
                <w:sz w:val="22"/>
                <w:szCs w:val="22"/>
                <w:lang w:eastAsia="en-GB"/>
              </w:rPr>
            </w:pPr>
            <w:bookmarkStart w:id="101" w:name="_Hlk83754815"/>
            <w:r w:rsidRPr="008820ED">
              <w:rPr>
                <w:bCs/>
                <w:sz w:val="22"/>
                <w:szCs w:val="22"/>
                <w:lang w:eastAsia="en-GB"/>
              </w:rPr>
              <w:t xml:space="preserve">Outdoor seating on adjacent public land </w:t>
            </w:r>
            <w:bookmarkEnd w:id="101"/>
          </w:p>
        </w:tc>
      </w:tr>
      <w:tr w:rsidR="008820ED" w:rsidRPr="008820ED" w14:paraId="24F2A645" w14:textId="77777777" w:rsidTr="00CA1BBF">
        <w:tc>
          <w:tcPr>
            <w:tcW w:w="9016" w:type="dxa"/>
          </w:tcPr>
          <w:p w14:paraId="7C069E45" w14:textId="77777777" w:rsidR="008820ED" w:rsidRPr="008820ED" w:rsidRDefault="008820ED" w:rsidP="00CA1BBF">
            <w:pPr>
              <w:jc w:val="both"/>
              <w:rPr>
                <w:bCs/>
                <w:sz w:val="22"/>
                <w:szCs w:val="22"/>
                <w:lang w:eastAsia="en-GB"/>
              </w:rPr>
            </w:pPr>
            <w:r w:rsidRPr="008820ED">
              <w:rPr>
                <w:bCs/>
                <w:sz w:val="22"/>
                <w:szCs w:val="22"/>
                <w:lang w:eastAsia="en-GB"/>
              </w:rPr>
              <w:t>Seeking to extend improvements (</w:t>
            </w:r>
            <w:proofErr w:type="spellStart"/>
            <w:r w:rsidRPr="008820ED">
              <w:rPr>
                <w:bCs/>
                <w:sz w:val="22"/>
                <w:szCs w:val="22"/>
                <w:lang w:eastAsia="en-GB"/>
              </w:rPr>
              <w:t>territorialise</w:t>
            </w:r>
            <w:proofErr w:type="spellEnd"/>
            <w:r w:rsidRPr="008820ED">
              <w:rPr>
                <w:bCs/>
                <w:sz w:val="22"/>
                <w:szCs w:val="22"/>
                <w:lang w:eastAsia="en-GB"/>
              </w:rPr>
              <w:t xml:space="preserve">) adjacent public land </w:t>
            </w:r>
          </w:p>
        </w:tc>
      </w:tr>
      <w:tr w:rsidR="008820ED" w:rsidRPr="008820ED" w14:paraId="5F311C9D" w14:textId="77777777" w:rsidTr="00CA1BBF">
        <w:tc>
          <w:tcPr>
            <w:tcW w:w="9016" w:type="dxa"/>
          </w:tcPr>
          <w:p w14:paraId="0BE15972" w14:textId="77777777" w:rsidR="008820ED" w:rsidRPr="008820ED" w:rsidRDefault="008820ED" w:rsidP="00CA1BBF">
            <w:pPr>
              <w:jc w:val="both"/>
              <w:rPr>
                <w:bCs/>
                <w:sz w:val="22"/>
                <w:szCs w:val="22"/>
                <w:lang w:eastAsia="en-GB"/>
              </w:rPr>
            </w:pPr>
            <w:r w:rsidRPr="008820ED">
              <w:rPr>
                <w:bCs/>
                <w:sz w:val="22"/>
                <w:szCs w:val="22"/>
                <w:lang w:eastAsia="en-GB"/>
              </w:rPr>
              <w:t xml:space="preserve">Seeking to have ‘sense of arrival’ fixtures on adjacent public land </w:t>
            </w:r>
          </w:p>
        </w:tc>
      </w:tr>
      <w:tr w:rsidR="008820ED" w:rsidRPr="008820ED" w14:paraId="44E550C0" w14:textId="77777777" w:rsidTr="00CA1BBF">
        <w:tc>
          <w:tcPr>
            <w:tcW w:w="9016" w:type="dxa"/>
          </w:tcPr>
          <w:p w14:paraId="7A23A7B2" w14:textId="77777777" w:rsidR="008820ED" w:rsidRPr="008820ED" w:rsidRDefault="008820ED" w:rsidP="00CA1BBF">
            <w:pPr>
              <w:jc w:val="both"/>
              <w:rPr>
                <w:bCs/>
                <w:sz w:val="22"/>
                <w:szCs w:val="22"/>
                <w:lang w:eastAsia="en-GB"/>
              </w:rPr>
            </w:pPr>
            <w:r w:rsidRPr="008820ED">
              <w:rPr>
                <w:bCs/>
                <w:sz w:val="22"/>
                <w:szCs w:val="22"/>
                <w:lang w:eastAsia="en-GB"/>
              </w:rPr>
              <w:t xml:space="preserve">Present themselves as a meeting place </w:t>
            </w:r>
          </w:p>
        </w:tc>
      </w:tr>
      <w:tr w:rsidR="008820ED" w:rsidRPr="008820ED" w14:paraId="38462491" w14:textId="77777777" w:rsidTr="00CA1BBF">
        <w:tc>
          <w:tcPr>
            <w:tcW w:w="9016" w:type="dxa"/>
          </w:tcPr>
          <w:p w14:paraId="2C579D9C" w14:textId="77777777" w:rsidR="008820ED" w:rsidRPr="008820ED" w:rsidRDefault="008820ED" w:rsidP="00CA1BBF">
            <w:pPr>
              <w:jc w:val="both"/>
              <w:rPr>
                <w:bCs/>
                <w:sz w:val="22"/>
                <w:szCs w:val="22"/>
                <w:lang w:eastAsia="en-GB"/>
              </w:rPr>
            </w:pPr>
            <w:r w:rsidRPr="008820ED">
              <w:rPr>
                <w:bCs/>
                <w:sz w:val="22"/>
                <w:szCs w:val="22"/>
                <w:lang w:eastAsia="en-GB"/>
              </w:rPr>
              <w:t xml:space="preserve">Façade lighting schemes </w:t>
            </w:r>
          </w:p>
        </w:tc>
      </w:tr>
    </w:tbl>
    <w:p w14:paraId="75F59FAC" w14:textId="77777777" w:rsidR="008820ED" w:rsidRPr="008820ED" w:rsidRDefault="008820ED" w:rsidP="008820ED">
      <w:pPr>
        <w:jc w:val="both"/>
        <w:rPr>
          <w:sz w:val="22"/>
          <w:szCs w:val="22"/>
        </w:rPr>
      </w:pPr>
    </w:p>
    <w:p w14:paraId="6AFB70E2" w14:textId="77777777" w:rsidR="008820ED" w:rsidRPr="008820ED" w:rsidRDefault="008820ED" w:rsidP="008820ED">
      <w:pPr>
        <w:jc w:val="both"/>
        <w:rPr>
          <w:sz w:val="22"/>
          <w:szCs w:val="22"/>
        </w:rPr>
      </w:pPr>
      <w:r w:rsidRPr="008820ED">
        <w:rPr>
          <w:sz w:val="22"/>
          <w:szCs w:val="22"/>
        </w:rPr>
        <w:t xml:space="preserve">To add more insight to Table 3, in terms of outdoor seating on adjacent public land, at one case study </w:t>
      </w:r>
      <w:r w:rsidRPr="008820ED">
        <w:rPr>
          <w:sz w:val="22"/>
          <w:szCs w:val="22"/>
          <w:lang w:eastAsia="en-GB"/>
        </w:rPr>
        <w:t xml:space="preserve">property consent was sought to create </w:t>
      </w:r>
      <w:r w:rsidRPr="008820ED">
        <w:rPr>
          <w:sz w:val="22"/>
          <w:szCs w:val="22"/>
        </w:rPr>
        <w:t>decking-style balconies</w:t>
      </w:r>
      <w:r w:rsidRPr="008820ED">
        <w:rPr>
          <w:sz w:val="22"/>
          <w:szCs w:val="22"/>
          <w:lang w:eastAsia="en-GB"/>
        </w:rPr>
        <w:t xml:space="preserve">. The </w:t>
      </w:r>
      <w:r w:rsidRPr="008820ED">
        <w:rPr>
          <w:sz w:val="22"/>
          <w:szCs w:val="22"/>
        </w:rPr>
        <w:t xml:space="preserve">local authority planners reluctantly agreed to accept the owner’s argument that the alterations were entirely necessary to support the new uses in the repurposed building, whereby: </w:t>
      </w:r>
    </w:p>
    <w:p w14:paraId="4B26816A" w14:textId="77777777" w:rsidR="008820ED" w:rsidRPr="008820ED" w:rsidRDefault="008820ED" w:rsidP="008820ED">
      <w:pPr>
        <w:ind w:left="284" w:right="284"/>
        <w:jc w:val="both"/>
        <w:rPr>
          <w:sz w:val="22"/>
          <w:szCs w:val="22"/>
          <w:lang w:eastAsia="en-GB"/>
        </w:rPr>
      </w:pPr>
      <w:r w:rsidRPr="008820ED">
        <w:rPr>
          <w:sz w:val="22"/>
          <w:szCs w:val="22"/>
          <w:lang w:eastAsia="en-GB"/>
        </w:rPr>
        <w:t>“</w:t>
      </w:r>
      <w:r w:rsidRPr="008820ED">
        <w:rPr>
          <w:i/>
          <w:iCs/>
          <w:sz w:val="22"/>
          <w:szCs w:val="22"/>
          <w:lang w:eastAsia="en-GB"/>
        </w:rPr>
        <w:t>People can see it [the new venture] from outside, which means they understand it exists, because otherwise if it's all indoors, it's all very nice having a sign saying ‘restaurant’, but people walk by.  So, it's that engagement: it's flowing out into the streets</w:t>
      </w:r>
      <w:r w:rsidRPr="008820ED">
        <w:rPr>
          <w:sz w:val="22"/>
          <w:szCs w:val="22"/>
          <w:lang w:eastAsia="en-GB"/>
        </w:rPr>
        <w:t>” (D01).</w:t>
      </w:r>
    </w:p>
    <w:p w14:paraId="1F3FAE54" w14:textId="77777777" w:rsidR="008820ED" w:rsidRPr="008820ED" w:rsidRDefault="008820ED" w:rsidP="008820ED">
      <w:pPr>
        <w:jc w:val="both"/>
        <w:rPr>
          <w:sz w:val="22"/>
          <w:szCs w:val="22"/>
        </w:rPr>
      </w:pPr>
    </w:p>
    <w:p w14:paraId="690F98CA" w14:textId="77777777" w:rsidR="008820ED" w:rsidRPr="008820ED" w:rsidRDefault="008820ED" w:rsidP="008820ED">
      <w:pPr>
        <w:jc w:val="both"/>
        <w:rPr>
          <w:sz w:val="22"/>
          <w:szCs w:val="22"/>
        </w:rPr>
      </w:pPr>
      <w:r w:rsidRPr="008820ED">
        <w:rPr>
          <w:sz w:val="22"/>
          <w:szCs w:val="22"/>
        </w:rPr>
        <w:t xml:space="preserve">This belief relates to assemblage thinking, in that the components which constitute an assemblage include its effectivity: what it can do (Hillier and Abrahams, 2013). People see a potential in certain materials/structures to produce certain effects. However, herein lies a problem as local authority planners have, traditionally been focused on material form. For them, the issue was that, by accommodating the balconies, traditional elements were lost: </w:t>
      </w:r>
    </w:p>
    <w:p w14:paraId="16657A24" w14:textId="77777777" w:rsidR="008820ED" w:rsidRPr="008820ED" w:rsidRDefault="008820ED" w:rsidP="008820ED">
      <w:pPr>
        <w:ind w:left="284" w:right="284"/>
        <w:jc w:val="both"/>
        <w:rPr>
          <w:sz w:val="22"/>
          <w:szCs w:val="22"/>
          <w:lang w:eastAsia="en-GB"/>
        </w:rPr>
      </w:pPr>
      <w:r w:rsidRPr="008820ED">
        <w:rPr>
          <w:sz w:val="22"/>
          <w:szCs w:val="22"/>
          <w:lang w:eastAsia="en-GB"/>
        </w:rPr>
        <w:t>“</w:t>
      </w:r>
      <w:r w:rsidRPr="008820ED">
        <w:rPr>
          <w:i/>
          <w:iCs/>
          <w:sz w:val="22"/>
          <w:szCs w:val="22"/>
          <w:lang w:eastAsia="en-GB"/>
        </w:rPr>
        <w:t>That to me was a big deal.  We weren't really very happy about that, as officers, to us that's a big gamble really … unless the [food/catering element] goes in and those balconies come to life, I feel like … we have lost the historic setting of the building</w:t>
      </w:r>
      <w:r w:rsidRPr="008820ED">
        <w:rPr>
          <w:sz w:val="22"/>
          <w:szCs w:val="22"/>
          <w:lang w:eastAsia="en-GB"/>
        </w:rPr>
        <w:t xml:space="preserve">” </w:t>
      </w:r>
      <w:bookmarkStart w:id="102" w:name="_Hlk83580643"/>
      <w:r w:rsidRPr="008820ED">
        <w:rPr>
          <w:sz w:val="22"/>
          <w:szCs w:val="22"/>
          <w:lang w:eastAsia="en-GB"/>
        </w:rPr>
        <w:t>(D04).</w:t>
      </w:r>
      <w:bookmarkEnd w:id="102"/>
    </w:p>
    <w:p w14:paraId="4E0B7B1D" w14:textId="77777777" w:rsidR="008820ED" w:rsidRPr="008820ED" w:rsidRDefault="008820ED" w:rsidP="008820ED">
      <w:pPr>
        <w:ind w:left="284" w:right="284"/>
        <w:jc w:val="both"/>
        <w:rPr>
          <w:sz w:val="22"/>
          <w:szCs w:val="22"/>
          <w:lang w:eastAsia="en-GB"/>
        </w:rPr>
      </w:pPr>
    </w:p>
    <w:p w14:paraId="297EDEAE" w14:textId="77777777" w:rsidR="008820ED" w:rsidRPr="008820ED" w:rsidRDefault="008820ED" w:rsidP="008820ED">
      <w:pPr>
        <w:jc w:val="both"/>
        <w:rPr>
          <w:b/>
          <w:bCs/>
          <w:color w:val="FF0000"/>
          <w:sz w:val="22"/>
          <w:szCs w:val="22"/>
          <w:u w:val="single"/>
        </w:rPr>
      </w:pPr>
      <w:bookmarkStart w:id="103" w:name="_Hlk83632627"/>
      <w:r w:rsidRPr="008820ED">
        <w:rPr>
          <w:sz w:val="22"/>
          <w:szCs w:val="22"/>
          <w:lang w:eastAsia="en-GB"/>
        </w:rPr>
        <w:t xml:space="preserve">This illustrates the long view traditionally taken by planners, in this case to preserve the existing fabric of the city (the material form), whereby, </w:t>
      </w:r>
      <w:r w:rsidRPr="008820ED">
        <w:rPr>
          <w:i/>
          <w:iCs/>
          <w:sz w:val="22"/>
          <w:szCs w:val="22"/>
        </w:rPr>
        <w:t>“planning is meant to be in the public interest, for the greater public good: this is a long-term view on things”</w:t>
      </w:r>
      <w:r w:rsidRPr="008820ED">
        <w:rPr>
          <w:sz w:val="22"/>
          <w:szCs w:val="22"/>
        </w:rPr>
        <w:t xml:space="preserve"> </w:t>
      </w:r>
      <w:r w:rsidRPr="008820ED">
        <w:rPr>
          <w:sz w:val="22"/>
          <w:szCs w:val="22"/>
          <w:lang w:eastAsia="en-GB"/>
        </w:rPr>
        <w:t>(D04)</w:t>
      </w:r>
      <w:r w:rsidRPr="008820ED">
        <w:rPr>
          <w:sz w:val="22"/>
          <w:szCs w:val="22"/>
        </w:rPr>
        <w:t xml:space="preserve">. </w:t>
      </w:r>
      <w:r w:rsidRPr="008820ED">
        <w:rPr>
          <w:color w:val="111111"/>
          <w:sz w:val="22"/>
          <w:szCs w:val="22"/>
          <w:shd w:val="clear" w:color="auto" w:fill="FFFFFF"/>
        </w:rPr>
        <w:t xml:space="preserve">However, given the case study properties </w:t>
      </w:r>
      <w:r w:rsidRPr="008820ED">
        <w:rPr>
          <w:sz w:val="22"/>
          <w:szCs w:val="22"/>
        </w:rPr>
        <w:t xml:space="preserve">house commercial ventures, there is an increased need for external facades to fulfil an </w:t>
      </w:r>
      <w:r w:rsidRPr="008820ED">
        <w:rPr>
          <w:rFonts w:eastAsia="Times New Roman"/>
          <w:sz w:val="22"/>
          <w:szCs w:val="22"/>
          <w:lang w:eastAsia="en-GB"/>
        </w:rPr>
        <w:t>expressive function, whereby t</w:t>
      </w:r>
      <w:r w:rsidRPr="008820ED">
        <w:rPr>
          <w:color w:val="111111"/>
          <w:sz w:val="22"/>
          <w:szCs w:val="22"/>
          <w:shd w:val="clear" w:color="auto" w:fill="FFFFFF"/>
        </w:rPr>
        <w:t>h</w:t>
      </w:r>
      <w:r w:rsidRPr="008820ED">
        <w:rPr>
          <w:sz w:val="22"/>
          <w:szCs w:val="22"/>
        </w:rPr>
        <w:t xml:space="preserve">e building </w:t>
      </w:r>
      <w:r w:rsidRPr="008820ED">
        <w:rPr>
          <w:sz w:val="22"/>
          <w:szCs w:val="22"/>
        </w:rPr>
        <w:lastRenderedPageBreak/>
        <w:t>is to become an expression of what lies within.</w:t>
      </w:r>
      <w:bookmarkStart w:id="104" w:name="_Hlk83581550"/>
      <w:r w:rsidRPr="008820ED">
        <w:rPr>
          <w:sz w:val="22"/>
          <w:szCs w:val="22"/>
        </w:rPr>
        <w:t xml:space="preserve"> </w:t>
      </w:r>
      <w:bookmarkEnd w:id="103"/>
      <w:bookmarkEnd w:id="104"/>
      <w:r w:rsidRPr="008820ED">
        <w:rPr>
          <w:sz w:val="22"/>
          <w:szCs w:val="22"/>
          <w:lang w:eastAsia="en-GB"/>
        </w:rPr>
        <w:t xml:space="preserve">The need to </w:t>
      </w:r>
      <w:bookmarkStart w:id="105" w:name="_Hlk83757749"/>
      <w:r w:rsidRPr="008820ED">
        <w:rPr>
          <w:sz w:val="22"/>
          <w:szCs w:val="22"/>
          <w:lang w:eastAsia="en-GB"/>
        </w:rPr>
        <w:t xml:space="preserve">articulate externally </w:t>
      </w:r>
      <w:bookmarkEnd w:id="105"/>
      <w:r w:rsidRPr="008820ED">
        <w:rPr>
          <w:sz w:val="22"/>
          <w:szCs w:val="22"/>
          <w:lang w:eastAsia="en-GB"/>
        </w:rPr>
        <w:t xml:space="preserve">what is happening within means properties need to take on increasingly expressive roles. Rather than the traditional long view taken by local authority planners, given </w:t>
      </w:r>
      <w:r w:rsidRPr="008820ED">
        <w:rPr>
          <w:sz w:val="22"/>
          <w:szCs w:val="22"/>
        </w:rPr>
        <w:t xml:space="preserve">the record high volume of empty units, this raises questions about </w:t>
      </w:r>
      <w:r w:rsidRPr="008820ED">
        <w:rPr>
          <w:sz w:val="22"/>
          <w:szCs w:val="22"/>
          <w:lang w:eastAsia="en-GB"/>
        </w:rPr>
        <w:t xml:space="preserve">whether a shorter view is required, one more </w:t>
      </w:r>
      <w:proofErr w:type="spellStart"/>
      <w:r w:rsidRPr="008820ED">
        <w:rPr>
          <w:sz w:val="22"/>
          <w:szCs w:val="22"/>
          <w:lang w:eastAsia="en-GB"/>
        </w:rPr>
        <w:t>focussed</w:t>
      </w:r>
      <w:proofErr w:type="spellEnd"/>
      <w:r w:rsidRPr="008820ED">
        <w:rPr>
          <w:sz w:val="22"/>
          <w:szCs w:val="22"/>
          <w:lang w:eastAsia="en-GB"/>
        </w:rPr>
        <w:t xml:space="preserve"> on material forces: on enabling a </w:t>
      </w:r>
      <w:r w:rsidRPr="008820ED">
        <w:rPr>
          <w:sz w:val="22"/>
          <w:szCs w:val="22"/>
        </w:rPr>
        <w:t xml:space="preserve">building to </w:t>
      </w:r>
      <w:bookmarkStart w:id="106" w:name="_Hlk83583729"/>
      <w:r w:rsidRPr="008820ED">
        <w:rPr>
          <w:sz w:val="22"/>
          <w:szCs w:val="22"/>
        </w:rPr>
        <w:t>be more of an expression of what lies within</w:t>
      </w:r>
      <w:bookmarkEnd w:id="106"/>
      <w:r w:rsidRPr="008820ED">
        <w:rPr>
          <w:sz w:val="22"/>
          <w:szCs w:val="22"/>
        </w:rPr>
        <w:t>, rather than preserving the material form.</w:t>
      </w:r>
      <w:r w:rsidRPr="008820ED">
        <w:rPr>
          <w:b/>
          <w:bCs/>
          <w:color w:val="FF0000"/>
          <w:sz w:val="22"/>
          <w:szCs w:val="22"/>
          <w:lang w:eastAsia="en-GB"/>
        </w:rPr>
        <w:t xml:space="preserve">  </w:t>
      </w:r>
    </w:p>
    <w:p w14:paraId="03317635" w14:textId="77777777" w:rsidR="008820ED" w:rsidRPr="008820ED" w:rsidRDefault="008820ED" w:rsidP="008820ED">
      <w:pPr>
        <w:jc w:val="both"/>
        <w:rPr>
          <w:b/>
          <w:bCs/>
          <w:color w:val="FF0000"/>
          <w:sz w:val="22"/>
          <w:szCs w:val="22"/>
          <w:lang w:eastAsia="en-GB"/>
        </w:rPr>
      </w:pPr>
    </w:p>
    <w:p w14:paraId="1B907D30" w14:textId="77777777" w:rsidR="008820ED" w:rsidRPr="008820ED" w:rsidRDefault="008820ED" w:rsidP="008820ED">
      <w:pPr>
        <w:jc w:val="both"/>
        <w:rPr>
          <w:sz w:val="22"/>
          <w:szCs w:val="22"/>
        </w:rPr>
      </w:pPr>
      <w:r w:rsidRPr="008820ED">
        <w:rPr>
          <w:rFonts w:eastAsia="Times New Roman"/>
          <w:sz w:val="22"/>
          <w:szCs w:val="22"/>
          <w:lang w:eastAsia="en-GB"/>
        </w:rPr>
        <w:t xml:space="preserve">Assemblage thinking’s focus on “material-forces rather than material-form” (Deleuze &amp; </w:t>
      </w:r>
      <w:proofErr w:type="spellStart"/>
      <w:r w:rsidRPr="008820ED">
        <w:rPr>
          <w:rFonts w:eastAsia="Times New Roman"/>
          <w:sz w:val="22"/>
          <w:szCs w:val="22"/>
          <w:lang w:eastAsia="en-GB"/>
        </w:rPr>
        <w:t>Guattari</w:t>
      </w:r>
      <w:proofErr w:type="spellEnd"/>
      <w:r w:rsidRPr="008820ED">
        <w:rPr>
          <w:rFonts w:eastAsia="Times New Roman"/>
          <w:sz w:val="22"/>
          <w:szCs w:val="22"/>
          <w:lang w:eastAsia="en-GB"/>
        </w:rPr>
        <w:t>, 1987) may be a potent way of thinking about repurposing schemes.</w:t>
      </w:r>
      <w:r w:rsidRPr="008820ED">
        <w:rPr>
          <w:sz w:val="22"/>
          <w:szCs w:val="22"/>
        </w:rPr>
        <w:t xml:space="preserve">  However, the quote contains a key issue: that permitting the change was a gamble.</w:t>
      </w:r>
    </w:p>
    <w:p w14:paraId="111F5B2E" w14:textId="77777777" w:rsidR="008820ED" w:rsidRPr="008820ED" w:rsidRDefault="008820ED" w:rsidP="008820ED">
      <w:pPr>
        <w:jc w:val="both"/>
        <w:rPr>
          <w:sz w:val="22"/>
          <w:szCs w:val="22"/>
          <w:lang w:eastAsia="en-GB"/>
        </w:rPr>
      </w:pPr>
    </w:p>
    <w:p w14:paraId="7AF9BBCA" w14:textId="77777777" w:rsidR="008820ED" w:rsidRPr="008820ED" w:rsidRDefault="008820ED" w:rsidP="008820ED">
      <w:pPr>
        <w:jc w:val="both"/>
        <w:rPr>
          <w:b/>
          <w:bCs/>
          <w:sz w:val="22"/>
          <w:szCs w:val="22"/>
        </w:rPr>
      </w:pPr>
      <w:r w:rsidRPr="008820ED">
        <w:rPr>
          <w:b/>
          <w:bCs/>
          <w:sz w:val="22"/>
          <w:szCs w:val="22"/>
        </w:rPr>
        <w:t xml:space="preserve">Resisting change </w:t>
      </w:r>
    </w:p>
    <w:p w14:paraId="59A62A8B" w14:textId="77777777" w:rsidR="008820ED" w:rsidRPr="008820ED" w:rsidRDefault="008820ED" w:rsidP="008820ED">
      <w:pPr>
        <w:jc w:val="both"/>
        <w:rPr>
          <w:sz w:val="22"/>
          <w:szCs w:val="22"/>
        </w:rPr>
      </w:pPr>
      <w:r w:rsidRPr="008820ED">
        <w:rPr>
          <w:sz w:val="22"/>
          <w:szCs w:val="22"/>
        </w:rPr>
        <w:t xml:space="preserve">In terms of buildings/spaces resisting change, in the first instance, the years of accumulated clutter, alterations and sub-divisions of previous owners/occupiers could make it difficult to envision what can be done with a building (A02). The buildings can also be complicated to take accurate measurements of, for architects to work to, and full of quirks. For example, one property featured elevation changes on each floor and such quirks add to complexity and cost. Indeed, it was highlighted by a property owner that, </w:t>
      </w:r>
      <w:r w:rsidRPr="008820ED">
        <w:rPr>
          <w:i/>
          <w:iCs/>
          <w:sz w:val="22"/>
          <w:szCs w:val="22"/>
        </w:rPr>
        <w:t>“everybody just assumes, from a physical perspective, that buildings are easily changed, and they're not … you're always starting from a very inefficient scenario”</w:t>
      </w:r>
      <w:r w:rsidRPr="008820ED">
        <w:rPr>
          <w:sz w:val="22"/>
          <w:szCs w:val="22"/>
        </w:rPr>
        <w:t xml:space="preserve"> (D01). In light of this quote, </w:t>
      </w:r>
      <w:r w:rsidRPr="008820ED">
        <w:rPr>
          <w:bCs/>
          <w:sz w:val="22"/>
          <w:szCs w:val="22"/>
        </w:rPr>
        <w:t>Table 4</w:t>
      </w:r>
      <w:r w:rsidRPr="008820ED">
        <w:rPr>
          <w:b/>
          <w:bCs/>
          <w:color w:val="FF0000"/>
          <w:sz w:val="22"/>
          <w:szCs w:val="22"/>
        </w:rPr>
        <w:t xml:space="preserve"> </w:t>
      </w:r>
      <w:r w:rsidRPr="008820ED">
        <w:rPr>
          <w:sz w:val="22"/>
          <w:szCs w:val="22"/>
        </w:rPr>
        <w:t xml:space="preserve">sets out the </w:t>
      </w:r>
      <w:proofErr w:type="gramStart"/>
      <w:r w:rsidRPr="008820ED">
        <w:rPr>
          <w:sz w:val="22"/>
          <w:szCs w:val="22"/>
        </w:rPr>
        <w:t>key ways</w:t>
      </w:r>
      <w:proofErr w:type="gramEnd"/>
      <w:r w:rsidRPr="008820ED">
        <w:rPr>
          <w:sz w:val="22"/>
          <w:szCs w:val="22"/>
        </w:rPr>
        <w:t xml:space="preserve"> the case study properties resisted change.</w:t>
      </w:r>
    </w:p>
    <w:p w14:paraId="56BB0191" w14:textId="77777777" w:rsidR="008820ED" w:rsidRPr="008820ED" w:rsidRDefault="008820ED" w:rsidP="008820ED">
      <w:pPr>
        <w:jc w:val="both"/>
        <w:rPr>
          <w:b/>
          <w:bCs/>
          <w:color w:val="FF0000"/>
          <w:sz w:val="22"/>
          <w:szCs w:val="22"/>
        </w:rPr>
      </w:pPr>
    </w:p>
    <w:p w14:paraId="5F38072B" w14:textId="77777777" w:rsidR="008820ED" w:rsidRPr="008820ED" w:rsidRDefault="008820ED" w:rsidP="008820ED">
      <w:pPr>
        <w:jc w:val="both"/>
        <w:rPr>
          <w:sz w:val="22"/>
          <w:szCs w:val="22"/>
        </w:rPr>
      </w:pPr>
      <w:bookmarkStart w:id="107" w:name="_Hlk83802156"/>
      <w:r w:rsidRPr="008820ED">
        <w:rPr>
          <w:b/>
          <w:bCs/>
          <w:sz w:val="22"/>
          <w:szCs w:val="22"/>
        </w:rPr>
        <w:t xml:space="preserve">Table 4: </w:t>
      </w:r>
      <w:bookmarkEnd w:id="107"/>
      <w:r w:rsidRPr="008820ED">
        <w:rPr>
          <w:b/>
          <w:bCs/>
          <w:sz w:val="22"/>
          <w:szCs w:val="22"/>
        </w:rPr>
        <w:t xml:space="preserve">built fabric is resistant to change </w:t>
      </w:r>
    </w:p>
    <w:tbl>
      <w:tblPr>
        <w:tblStyle w:val="TableGrid"/>
        <w:tblW w:w="0" w:type="auto"/>
        <w:tblLook w:val="04A0" w:firstRow="1" w:lastRow="0" w:firstColumn="1" w:lastColumn="0" w:noHBand="0" w:noVBand="1"/>
      </w:tblPr>
      <w:tblGrid>
        <w:gridCol w:w="9016"/>
      </w:tblGrid>
      <w:tr w:rsidR="008820ED" w:rsidRPr="008820ED" w14:paraId="29092BEB" w14:textId="77777777" w:rsidTr="00CA1BBF">
        <w:tc>
          <w:tcPr>
            <w:tcW w:w="9016" w:type="dxa"/>
          </w:tcPr>
          <w:p w14:paraId="0377E141" w14:textId="77777777" w:rsidR="008820ED" w:rsidRPr="008820ED" w:rsidRDefault="008820ED" w:rsidP="00CA1BBF">
            <w:pPr>
              <w:jc w:val="both"/>
              <w:rPr>
                <w:color w:val="FF0000"/>
                <w:sz w:val="22"/>
                <w:szCs w:val="22"/>
              </w:rPr>
            </w:pPr>
            <w:r w:rsidRPr="008820ED">
              <w:rPr>
                <w:sz w:val="22"/>
                <w:szCs w:val="22"/>
              </w:rPr>
              <w:t xml:space="preserve">Difficulties extending/concerns about </w:t>
            </w:r>
            <w:proofErr w:type="gramStart"/>
            <w:r w:rsidRPr="008820ED">
              <w:rPr>
                <w:sz w:val="22"/>
                <w:szCs w:val="22"/>
              </w:rPr>
              <w:t>future plans</w:t>
            </w:r>
            <w:proofErr w:type="gramEnd"/>
            <w:r w:rsidRPr="008820ED">
              <w:rPr>
                <w:sz w:val="22"/>
                <w:szCs w:val="22"/>
              </w:rPr>
              <w:t xml:space="preserve"> to expand, current capacity soon fills up</w:t>
            </w:r>
          </w:p>
        </w:tc>
      </w:tr>
      <w:tr w:rsidR="008820ED" w:rsidRPr="008820ED" w14:paraId="2D3FB91B" w14:textId="77777777" w:rsidTr="00CA1BBF">
        <w:tc>
          <w:tcPr>
            <w:tcW w:w="9016" w:type="dxa"/>
          </w:tcPr>
          <w:p w14:paraId="5FE69DC7" w14:textId="77777777" w:rsidR="008820ED" w:rsidRPr="008820ED" w:rsidRDefault="008820ED" w:rsidP="00CA1BBF">
            <w:pPr>
              <w:jc w:val="both"/>
              <w:rPr>
                <w:sz w:val="22"/>
                <w:szCs w:val="22"/>
              </w:rPr>
            </w:pPr>
            <w:r w:rsidRPr="008820ED">
              <w:rPr>
                <w:sz w:val="22"/>
                <w:szCs w:val="22"/>
              </w:rPr>
              <w:t>Verticality</w:t>
            </w:r>
          </w:p>
        </w:tc>
      </w:tr>
      <w:tr w:rsidR="008820ED" w:rsidRPr="008820ED" w14:paraId="0885CAC7" w14:textId="77777777" w:rsidTr="00CA1BBF">
        <w:tc>
          <w:tcPr>
            <w:tcW w:w="9016" w:type="dxa"/>
          </w:tcPr>
          <w:p w14:paraId="00AD042C" w14:textId="77777777" w:rsidR="008820ED" w:rsidRPr="008820ED" w:rsidRDefault="008820ED" w:rsidP="00CA1BBF">
            <w:pPr>
              <w:jc w:val="both"/>
              <w:rPr>
                <w:sz w:val="22"/>
                <w:szCs w:val="22"/>
              </w:rPr>
            </w:pPr>
            <w:r w:rsidRPr="008820ED">
              <w:rPr>
                <w:sz w:val="22"/>
                <w:szCs w:val="22"/>
              </w:rPr>
              <w:t xml:space="preserve">Fit for modern day purpose </w:t>
            </w:r>
          </w:p>
        </w:tc>
      </w:tr>
      <w:tr w:rsidR="008820ED" w:rsidRPr="008820ED" w14:paraId="77C47F83" w14:textId="77777777" w:rsidTr="00CA1BBF">
        <w:tc>
          <w:tcPr>
            <w:tcW w:w="9016" w:type="dxa"/>
          </w:tcPr>
          <w:p w14:paraId="0FC0F004" w14:textId="77777777" w:rsidR="008820ED" w:rsidRPr="008820ED" w:rsidRDefault="008820ED" w:rsidP="008820ED">
            <w:pPr>
              <w:pStyle w:val="ListParagraph"/>
              <w:numPr>
                <w:ilvl w:val="0"/>
                <w:numId w:val="7"/>
              </w:numPr>
              <w:spacing w:after="0" w:line="240" w:lineRule="auto"/>
              <w:jc w:val="both"/>
              <w:rPr>
                <w:rFonts w:ascii="Times New Roman" w:hAnsi="Times New Roman"/>
                <w:b/>
                <w:bCs/>
              </w:rPr>
            </w:pPr>
            <w:r w:rsidRPr="008820ED">
              <w:rPr>
                <w:rFonts w:ascii="Times New Roman" w:hAnsi="Times New Roman"/>
              </w:rPr>
              <w:t>Fire and safety improvements</w:t>
            </w:r>
          </w:p>
        </w:tc>
      </w:tr>
      <w:tr w:rsidR="008820ED" w:rsidRPr="008820ED" w14:paraId="27659F15" w14:textId="77777777" w:rsidTr="00CA1BBF">
        <w:tc>
          <w:tcPr>
            <w:tcW w:w="9016" w:type="dxa"/>
          </w:tcPr>
          <w:p w14:paraId="485CB3AC" w14:textId="77777777" w:rsidR="008820ED" w:rsidRPr="008820ED" w:rsidRDefault="008820ED" w:rsidP="008820ED">
            <w:pPr>
              <w:pStyle w:val="ListParagraph"/>
              <w:numPr>
                <w:ilvl w:val="0"/>
                <w:numId w:val="7"/>
              </w:numPr>
              <w:spacing w:after="0" w:line="240" w:lineRule="auto"/>
              <w:jc w:val="both"/>
              <w:rPr>
                <w:rFonts w:ascii="Times New Roman" w:hAnsi="Times New Roman"/>
              </w:rPr>
            </w:pPr>
            <w:r w:rsidRPr="008820ED">
              <w:rPr>
                <w:rFonts w:ascii="Times New Roman" w:hAnsi="Times New Roman"/>
              </w:rPr>
              <w:t>Disabled access (accessibility)</w:t>
            </w:r>
          </w:p>
        </w:tc>
      </w:tr>
      <w:tr w:rsidR="008820ED" w:rsidRPr="008820ED" w14:paraId="64D8B411" w14:textId="77777777" w:rsidTr="00CA1BBF">
        <w:tc>
          <w:tcPr>
            <w:tcW w:w="9016" w:type="dxa"/>
          </w:tcPr>
          <w:p w14:paraId="0094BB0E" w14:textId="77777777" w:rsidR="008820ED" w:rsidRPr="008820ED" w:rsidRDefault="008820ED" w:rsidP="008820ED">
            <w:pPr>
              <w:pStyle w:val="ListParagraph"/>
              <w:numPr>
                <w:ilvl w:val="0"/>
                <w:numId w:val="7"/>
              </w:numPr>
              <w:spacing w:after="0" w:line="240" w:lineRule="auto"/>
              <w:jc w:val="both"/>
              <w:rPr>
                <w:rFonts w:ascii="Times New Roman" w:hAnsi="Times New Roman"/>
              </w:rPr>
            </w:pPr>
            <w:r w:rsidRPr="008820ED">
              <w:rPr>
                <w:rFonts w:ascii="Times New Roman" w:eastAsia="Times New Roman" w:hAnsi="Times New Roman"/>
                <w:lang w:eastAsia="en-GB"/>
              </w:rPr>
              <w:t xml:space="preserve">Extraction/ventilation systems </w:t>
            </w:r>
            <w:r w:rsidRPr="008820ED">
              <w:rPr>
                <w:rFonts w:ascii="Times New Roman" w:hAnsi="Times New Roman"/>
              </w:rPr>
              <w:t>(cooking/indoor air quality)</w:t>
            </w:r>
          </w:p>
        </w:tc>
      </w:tr>
      <w:tr w:rsidR="008820ED" w:rsidRPr="008820ED" w14:paraId="3367CF56" w14:textId="77777777" w:rsidTr="00CA1BBF">
        <w:tc>
          <w:tcPr>
            <w:tcW w:w="9016" w:type="dxa"/>
          </w:tcPr>
          <w:p w14:paraId="6880E1EA" w14:textId="77777777" w:rsidR="008820ED" w:rsidRPr="008820ED" w:rsidRDefault="008820ED" w:rsidP="008820ED">
            <w:pPr>
              <w:pStyle w:val="ListParagraph"/>
              <w:numPr>
                <w:ilvl w:val="0"/>
                <w:numId w:val="7"/>
              </w:numPr>
              <w:spacing w:after="0" w:line="240" w:lineRule="auto"/>
              <w:jc w:val="both"/>
              <w:rPr>
                <w:rFonts w:ascii="Times New Roman" w:hAnsi="Times New Roman"/>
              </w:rPr>
            </w:pPr>
            <w:r w:rsidRPr="008820ED">
              <w:rPr>
                <w:rFonts w:ascii="Times New Roman" w:hAnsi="Times New Roman"/>
              </w:rPr>
              <w:t>Accommodating IT infrastructure</w:t>
            </w:r>
          </w:p>
        </w:tc>
      </w:tr>
      <w:tr w:rsidR="008820ED" w:rsidRPr="008820ED" w14:paraId="33FD87A2" w14:textId="77777777" w:rsidTr="00CA1BBF">
        <w:tc>
          <w:tcPr>
            <w:tcW w:w="9016" w:type="dxa"/>
          </w:tcPr>
          <w:p w14:paraId="3089DD5A" w14:textId="77777777" w:rsidR="008820ED" w:rsidRPr="008820ED" w:rsidRDefault="008820ED" w:rsidP="00CA1BBF">
            <w:pPr>
              <w:jc w:val="both"/>
              <w:rPr>
                <w:sz w:val="22"/>
                <w:szCs w:val="22"/>
              </w:rPr>
            </w:pPr>
            <w:r w:rsidRPr="008820ED">
              <w:rPr>
                <w:sz w:val="22"/>
                <w:szCs w:val="22"/>
              </w:rPr>
              <w:t>Conversion to multi-occupier</w:t>
            </w:r>
          </w:p>
        </w:tc>
      </w:tr>
      <w:tr w:rsidR="008820ED" w:rsidRPr="008820ED" w14:paraId="31380152" w14:textId="77777777" w:rsidTr="00CA1BBF">
        <w:tc>
          <w:tcPr>
            <w:tcW w:w="9016" w:type="dxa"/>
          </w:tcPr>
          <w:p w14:paraId="204925B3" w14:textId="77777777" w:rsidR="008820ED" w:rsidRPr="008820ED" w:rsidRDefault="008820ED" w:rsidP="008820ED">
            <w:pPr>
              <w:pStyle w:val="ListParagraph"/>
              <w:numPr>
                <w:ilvl w:val="0"/>
                <w:numId w:val="8"/>
              </w:numPr>
              <w:spacing w:after="0" w:line="240" w:lineRule="auto"/>
              <w:jc w:val="both"/>
              <w:rPr>
                <w:rFonts w:ascii="Times New Roman" w:hAnsi="Times New Roman"/>
              </w:rPr>
            </w:pPr>
            <w:r w:rsidRPr="008820ED">
              <w:rPr>
                <w:rFonts w:ascii="Times New Roman" w:hAnsi="Times New Roman"/>
              </w:rPr>
              <w:t>Access/egress</w:t>
            </w:r>
          </w:p>
        </w:tc>
      </w:tr>
      <w:tr w:rsidR="008820ED" w:rsidRPr="008820ED" w14:paraId="68C74DD5" w14:textId="77777777" w:rsidTr="00CA1BBF">
        <w:tc>
          <w:tcPr>
            <w:tcW w:w="9016" w:type="dxa"/>
          </w:tcPr>
          <w:p w14:paraId="4C977098" w14:textId="77777777" w:rsidR="008820ED" w:rsidRPr="008820ED" w:rsidRDefault="008820ED" w:rsidP="008820ED">
            <w:pPr>
              <w:pStyle w:val="ListParagraph"/>
              <w:numPr>
                <w:ilvl w:val="0"/>
                <w:numId w:val="8"/>
              </w:numPr>
              <w:spacing w:after="0" w:line="240" w:lineRule="auto"/>
              <w:jc w:val="both"/>
              <w:rPr>
                <w:rFonts w:ascii="Times New Roman" w:hAnsi="Times New Roman"/>
              </w:rPr>
            </w:pPr>
            <w:r w:rsidRPr="008820ED">
              <w:rPr>
                <w:rFonts w:ascii="Times New Roman" w:hAnsi="Times New Roman"/>
              </w:rPr>
              <w:t>Timings – different opening/operating hours</w:t>
            </w:r>
          </w:p>
        </w:tc>
      </w:tr>
      <w:tr w:rsidR="008820ED" w:rsidRPr="008820ED" w14:paraId="00887B5B" w14:textId="77777777" w:rsidTr="00CA1BBF">
        <w:tc>
          <w:tcPr>
            <w:tcW w:w="9016" w:type="dxa"/>
          </w:tcPr>
          <w:p w14:paraId="4101E3AF" w14:textId="77777777" w:rsidR="008820ED" w:rsidRPr="008820ED" w:rsidRDefault="008820ED" w:rsidP="008820ED">
            <w:pPr>
              <w:pStyle w:val="ListParagraph"/>
              <w:numPr>
                <w:ilvl w:val="0"/>
                <w:numId w:val="8"/>
              </w:numPr>
              <w:tabs>
                <w:tab w:val="left" w:pos="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rPr>
            </w:pPr>
            <w:r w:rsidRPr="008820ED">
              <w:rPr>
                <w:rFonts w:ascii="Times New Roman" w:hAnsi="Times New Roman"/>
              </w:rPr>
              <w:t>Refuse requirements / servicing requirements / delivery requirements</w:t>
            </w:r>
          </w:p>
        </w:tc>
      </w:tr>
      <w:tr w:rsidR="008820ED" w:rsidRPr="008820ED" w14:paraId="51065814" w14:textId="77777777" w:rsidTr="00CA1BBF">
        <w:tc>
          <w:tcPr>
            <w:tcW w:w="9016" w:type="dxa"/>
          </w:tcPr>
          <w:p w14:paraId="0EF1102D" w14:textId="77777777" w:rsidR="008820ED" w:rsidRPr="008820ED" w:rsidRDefault="008820ED" w:rsidP="008820ED">
            <w:pPr>
              <w:pStyle w:val="ListParagraph"/>
              <w:numPr>
                <w:ilvl w:val="0"/>
                <w:numId w:val="8"/>
              </w:numPr>
              <w:spacing w:after="0" w:line="240" w:lineRule="auto"/>
              <w:jc w:val="both"/>
              <w:rPr>
                <w:rFonts w:ascii="Times New Roman" w:hAnsi="Times New Roman"/>
              </w:rPr>
            </w:pPr>
            <w:r w:rsidRPr="008820ED">
              <w:rPr>
                <w:rFonts w:ascii="Times New Roman" w:hAnsi="Times New Roman"/>
              </w:rPr>
              <w:t>Lack of storage space</w:t>
            </w:r>
          </w:p>
        </w:tc>
      </w:tr>
      <w:tr w:rsidR="008820ED" w:rsidRPr="008820ED" w14:paraId="3F2E1841" w14:textId="77777777" w:rsidTr="00CA1BBF">
        <w:tc>
          <w:tcPr>
            <w:tcW w:w="9016" w:type="dxa"/>
          </w:tcPr>
          <w:p w14:paraId="7B6DD26A" w14:textId="77777777" w:rsidR="008820ED" w:rsidRPr="008820ED" w:rsidRDefault="008820ED" w:rsidP="008820ED">
            <w:pPr>
              <w:pStyle w:val="ListParagraph"/>
              <w:numPr>
                <w:ilvl w:val="0"/>
                <w:numId w:val="8"/>
              </w:numPr>
              <w:spacing w:after="0" w:line="240" w:lineRule="auto"/>
              <w:jc w:val="both"/>
              <w:rPr>
                <w:rFonts w:ascii="Times New Roman" w:hAnsi="Times New Roman"/>
              </w:rPr>
            </w:pPr>
            <w:r w:rsidRPr="008820ED">
              <w:rPr>
                <w:rFonts w:ascii="Times New Roman" w:hAnsi="Times New Roman"/>
              </w:rPr>
              <w:t>Circulation of new users</w:t>
            </w:r>
          </w:p>
        </w:tc>
      </w:tr>
      <w:tr w:rsidR="008820ED" w:rsidRPr="008820ED" w14:paraId="58D0D95D" w14:textId="77777777" w:rsidTr="00CA1BBF">
        <w:tc>
          <w:tcPr>
            <w:tcW w:w="9016" w:type="dxa"/>
          </w:tcPr>
          <w:p w14:paraId="6665573E" w14:textId="77777777" w:rsidR="008820ED" w:rsidRPr="008820ED" w:rsidRDefault="008820ED" w:rsidP="00CA1BBF">
            <w:pPr>
              <w:jc w:val="both"/>
              <w:rPr>
                <w:color w:val="FF0000"/>
                <w:sz w:val="22"/>
                <w:szCs w:val="22"/>
              </w:rPr>
            </w:pPr>
            <w:r w:rsidRPr="008820ED">
              <w:rPr>
                <w:sz w:val="22"/>
                <w:szCs w:val="22"/>
              </w:rPr>
              <w:t xml:space="preserve">Lack of ease of use of adjacent </w:t>
            </w:r>
            <w:proofErr w:type="gramStart"/>
            <w:r w:rsidRPr="008820ED">
              <w:rPr>
                <w:sz w:val="22"/>
                <w:szCs w:val="22"/>
              </w:rPr>
              <w:t>pubic</w:t>
            </w:r>
            <w:proofErr w:type="gramEnd"/>
            <w:r w:rsidRPr="008820ED">
              <w:rPr>
                <w:sz w:val="22"/>
                <w:szCs w:val="22"/>
              </w:rPr>
              <w:t xml:space="preserve"> space</w:t>
            </w:r>
          </w:p>
        </w:tc>
      </w:tr>
      <w:tr w:rsidR="008820ED" w:rsidRPr="008820ED" w14:paraId="3FD6FDF4" w14:textId="77777777" w:rsidTr="00CA1BBF">
        <w:tc>
          <w:tcPr>
            <w:tcW w:w="9016" w:type="dxa"/>
          </w:tcPr>
          <w:p w14:paraId="5F2F9794" w14:textId="77777777" w:rsidR="008820ED" w:rsidRPr="008820ED" w:rsidRDefault="008820ED" w:rsidP="00CA1BBF">
            <w:pPr>
              <w:jc w:val="both"/>
              <w:rPr>
                <w:sz w:val="22"/>
                <w:szCs w:val="22"/>
              </w:rPr>
            </w:pPr>
            <w:r w:rsidRPr="008820ED">
              <w:rPr>
                <w:sz w:val="22"/>
                <w:szCs w:val="22"/>
              </w:rPr>
              <w:t>Fulfilment of planning conditions, including the provision of secure covered cycle parking</w:t>
            </w:r>
          </w:p>
        </w:tc>
      </w:tr>
    </w:tbl>
    <w:p w14:paraId="35D956C7" w14:textId="77777777" w:rsidR="008820ED" w:rsidRPr="008820ED" w:rsidRDefault="008820ED" w:rsidP="008820ED">
      <w:pPr>
        <w:tabs>
          <w:tab w:val="left" w:pos="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
          <w:bCs/>
          <w:sz w:val="22"/>
          <w:szCs w:val="22"/>
        </w:rPr>
      </w:pPr>
    </w:p>
    <w:p w14:paraId="6DE2E1AA" w14:textId="77777777" w:rsidR="008820ED" w:rsidRPr="008820ED" w:rsidRDefault="008820ED" w:rsidP="008820ED">
      <w:pPr>
        <w:jc w:val="both"/>
        <w:rPr>
          <w:rFonts w:eastAsia="Times New Roman"/>
          <w:sz w:val="22"/>
          <w:szCs w:val="22"/>
          <w:lang w:eastAsia="en-GB"/>
        </w:rPr>
      </w:pPr>
      <w:bookmarkStart w:id="108" w:name="_Hlk82791020"/>
      <w:r w:rsidRPr="008820ED">
        <w:rPr>
          <w:rFonts w:eastAsia="Times New Roman"/>
          <w:sz w:val="22"/>
          <w:szCs w:val="22"/>
          <w:lang w:eastAsia="en-GB"/>
        </w:rPr>
        <w:t xml:space="preserve">All five repurposed properties now have catering facilities, and </w:t>
      </w:r>
      <w:r w:rsidRPr="008820ED">
        <w:rPr>
          <w:sz w:val="22"/>
          <w:szCs w:val="22"/>
        </w:rPr>
        <w:t xml:space="preserve">all five are in conservation areas, with stricter controls on external </w:t>
      </w:r>
      <w:proofErr w:type="gramStart"/>
      <w:r w:rsidRPr="008820ED">
        <w:rPr>
          <w:sz w:val="22"/>
          <w:szCs w:val="22"/>
        </w:rPr>
        <w:t>appearances</w:t>
      </w:r>
      <w:r w:rsidRPr="008820ED">
        <w:rPr>
          <w:rFonts w:eastAsia="Times New Roman"/>
          <w:color w:val="000000" w:themeColor="text1"/>
          <w:sz w:val="22"/>
          <w:szCs w:val="22"/>
          <w:lang w:eastAsia="en-GB"/>
        </w:rPr>
        <w:t xml:space="preserve">,  </w:t>
      </w:r>
      <w:r w:rsidRPr="008820ED">
        <w:rPr>
          <w:rFonts w:eastAsia="Times New Roman"/>
          <w:sz w:val="22"/>
          <w:szCs w:val="22"/>
          <w:lang w:eastAsia="en-GB"/>
        </w:rPr>
        <w:t>However</w:t>
      </w:r>
      <w:proofErr w:type="gramEnd"/>
      <w:r w:rsidRPr="008820ED">
        <w:rPr>
          <w:rFonts w:eastAsia="Times New Roman"/>
          <w:sz w:val="22"/>
          <w:szCs w:val="22"/>
          <w:lang w:eastAsia="en-GB"/>
        </w:rPr>
        <w:t>, only one property has a service lane elevation</w:t>
      </w:r>
      <w:r w:rsidRPr="008820ED">
        <w:rPr>
          <w:sz w:val="22"/>
          <w:szCs w:val="22"/>
        </w:rPr>
        <w:t xml:space="preserve">, while for the others, their frontage is a public frontage creating the challenge of deciding the least sensitive </w:t>
      </w:r>
      <w:r w:rsidRPr="008820ED">
        <w:rPr>
          <w:rFonts w:eastAsia="Times New Roman"/>
          <w:sz w:val="22"/>
          <w:szCs w:val="22"/>
          <w:lang w:eastAsia="en-GB"/>
        </w:rPr>
        <w:t xml:space="preserve">elevation </w:t>
      </w:r>
      <w:r w:rsidRPr="008820ED">
        <w:rPr>
          <w:sz w:val="22"/>
          <w:szCs w:val="22"/>
        </w:rPr>
        <w:t>for accommodating such infrastructure (</w:t>
      </w:r>
      <w:r w:rsidRPr="008820ED">
        <w:rPr>
          <w:rFonts w:eastAsia="Times New Roman"/>
          <w:color w:val="000000" w:themeColor="text1"/>
          <w:sz w:val="22"/>
          <w:szCs w:val="22"/>
          <w:lang w:eastAsia="en-GB"/>
        </w:rPr>
        <w:t xml:space="preserve">C04, E04): </w:t>
      </w:r>
    </w:p>
    <w:p w14:paraId="33F81AA3" w14:textId="77777777" w:rsidR="008820ED" w:rsidRPr="008820ED" w:rsidRDefault="008820ED" w:rsidP="008820ED">
      <w:pPr>
        <w:ind w:left="284" w:right="284"/>
        <w:jc w:val="both"/>
        <w:rPr>
          <w:rFonts w:eastAsia="Times New Roman"/>
          <w:sz w:val="22"/>
          <w:szCs w:val="22"/>
          <w:lang w:eastAsia="en-GB"/>
        </w:rPr>
      </w:pPr>
      <w:r w:rsidRPr="008820ED">
        <w:rPr>
          <w:i/>
          <w:iCs/>
          <w:sz w:val="22"/>
          <w:szCs w:val="22"/>
        </w:rPr>
        <w:t xml:space="preserve">“There were flues.  Luckily, we had one side of the building that wasn’t as visible and they were able to take it up one of the side walls where it didn’t impact on its appearance as much, but there is a balance. You </w:t>
      </w:r>
      <w:proofErr w:type="gramStart"/>
      <w:r w:rsidRPr="008820ED">
        <w:rPr>
          <w:i/>
          <w:iCs/>
          <w:sz w:val="22"/>
          <w:szCs w:val="22"/>
        </w:rPr>
        <w:t>have to</w:t>
      </w:r>
      <w:proofErr w:type="gramEnd"/>
      <w:r w:rsidRPr="008820ED">
        <w:rPr>
          <w:i/>
          <w:iCs/>
          <w:sz w:val="22"/>
          <w:szCs w:val="22"/>
        </w:rPr>
        <w:t xml:space="preserve"> have a balance if you want to get it [the property] into active use or repurpose …</w:t>
      </w:r>
      <w:r w:rsidRPr="008820ED">
        <w:rPr>
          <w:rFonts w:eastAsia="Times New Roman"/>
          <w:i/>
          <w:iCs/>
          <w:sz w:val="22"/>
          <w:szCs w:val="22"/>
          <w:lang w:eastAsia="en-GB"/>
        </w:rPr>
        <w:t xml:space="preserve"> because, at the moment, obviously city </w:t>
      </w:r>
      <w:proofErr w:type="spellStart"/>
      <w:r w:rsidRPr="008820ED">
        <w:rPr>
          <w:rFonts w:eastAsia="Times New Roman"/>
          <w:i/>
          <w:iCs/>
          <w:sz w:val="22"/>
          <w:szCs w:val="22"/>
          <w:lang w:eastAsia="en-GB"/>
        </w:rPr>
        <w:t>centres</w:t>
      </w:r>
      <w:proofErr w:type="spellEnd"/>
      <w:r w:rsidRPr="008820ED">
        <w:rPr>
          <w:rFonts w:eastAsia="Times New Roman"/>
          <w:i/>
          <w:iCs/>
          <w:sz w:val="22"/>
          <w:szCs w:val="22"/>
          <w:lang w:eastAsia="en-GB"/>
        </w:rPr>
        <w:t xml:space="preserve"> are very much towards a mixed use … [so] yes, you do end up with flues” </w:t>
      </w:r>
      <w:r w:rsidRPr="008820ED">
        <w:rPr>
          <w:rFonts w:eastAsia="Times New Roman"/>
          <w:sz w:val="22"/>
          <w:szCs w:val="22"/>
          <w:lang w:eastAsia="en-GB"/>
        </w:rPr>
        <w:t>(E04).</w:t>
      </w:r>
    </w:p>
    <w:p w14:paraId="5022BE00" w14:textId="77777777" w:rsidR="008820ED" w:rsidRPr="008820ED" w:rsidRDefault="008820ED" w:rsidP="008820ED">
      <w:pPr>
        <w:ind w:left="284" w:right="284"/>
        <w:jc w:val="both"/>
        <w:rPr>
          <w:rFonts w:eastAsia="Times New Roman"/>
          <w:sz w:val="22"/>
          <w:szCs w:val="22"/>
          <w:lang w:eastAsia="en-GB"/>
        </w:rPr>
      </w:pPr>
    </w:p>
    <w:p w14:paraId="5FDFD738" w14:textId="77777777" w:rsidR="008820ED" w:rsidRPr="008820ED" w:rsidRDefault="008820ED" w:rsidP="008820ED">
      <w:pPr>
        <w:jc w:val="both"/>
        <w:rPr>
          <w:rFonts w:eastAsia="Times New Roman"/>
          <w:sz w:val="22"/>
          <w:szCs w:val="22"/>
          <w:lang w:eastAsia="en-GB"/>
        </w:rPr>
      </w:pPr>
      <w:r w:rsidRPr="008820ED">
        <w:rPr>
          <w:rFonts w:eastAsia="Times New Roman"/>
          <w:sz w:val="22"/>
          <w:szCs w:val="22"/>
          <w:lang w:eastAsia="en-GB"/>
        </w:rPr>
        <w:t xml:space="preserve">Even when accommodating the infrastructure internally is an option, </w:t>
      </w:r>
      <w:proofErr w:type="gramStart"/>
      <w:r w:rsidRPr="008820ED">
        <w:rPr>
          <w:rFonts w:eastAsia="Times New Roman"/>
          <w:sz w:val="22"/>
          <w:szCs w:val="22"/>
          <w:lang w:eastAsia="en-GB"/>
        </w:rPr>
        <w:t>in order to</w:t>
      </w:r>
      <w:proofErr w:type="gramEnd"/>
      <w:r w:rsidRPr="008820ED">
        <w:rPr>
          <w:rFonts w:eastAsia="Times New Roman"/>
          <w:sz w:val="22"/>
          <w:szCs w:val="22"/>
          <w:lang w:eastAsia="en-GB"/>
        </w:rPr>
        <w:t xml:space="preserve"> discharge at the roof level “you can’t just whack it up through the internal floors because you’ve got … </w:t>
      </w:r>
      <w:bookmarkStart w:id="109" w:name="_Hlk83292194"/>
      <w:r w:rsidRPr="008820ED">
        <w:rPr>
          <w:rFonts w:eastAsia="Times New Roman"/>
          <w:sz w:val="22"/>
          <w:szCs w:val="22"/>
          <w:lang w:eastAsia="en-GB"/>
        </w:rPr>
        <w:t>[</w:t>
      </w:r>
      <w:bookmarkEnd w:id="109"/>
      <w:r w:rsidRPr="008820ED">
        <w:rPr>
          <w:rFonts w:eastAsia="Times New Roman"/>
          <w:sz w:val="22"/>
          <w:szCs w:val="22"/>
          <w:lang w:eastAsia="en-GB"/>
        </w:rPr>
        <w:t>uses</w:t>
      </w:r>
      <w:bookmarkStart w:id="110" w:name="_Hlk83292185"/>
      <w:r w:rsidRPr="008820ED">
        <w:rPr>
          <w:rFonts w:eastAsia="Times New Roman"/>
          <w:sz w:val="22"/>
          <w:szCs w:val="22"/>
          <w:lang w:eastAsia="en-GB"/>
        </w:rPr>
        <w:t xml:space="preserve">] </w:t>
      </w:r>
      <w:bookmarkEnd w:id="110"/>
      <w:r w:rsidRPr="008820ED">
        <w:rPr>
          <w:rFonts w:eastAsia="Times New Roman"/>
          <w:sz w:val="22"/>
          <w:szCs w:val="22"/>
          <w:lang w:eastAsia="en-GB"/>
        </w:rPr>
        <w:t>above and all the space that would be available is already taken up” (C03).  Moreover, it was highlighted that, in order to accommodate ductwork within the building, they would have “to drill through concrete, and it [the repurposing scheme] is the first floor of … four floors … so we would have had to go through the concrete floor each time which was two or three feet deep, and that’s a huge job to run a two foot diameter pipe through that core”</w:t>
      </w:r>
      <w:r w:rsidRPr="008820ED">
        <w:rPr>
          <w:sz w:val="22"/>
          <w:szCs w:val="22"/>
        </w:rPr>
        <w:t xml:space="preserve"> </w:t>
      </w:r>
      <w:r w:rsidRPr="008820ED">
        <w:rPr>
          <w:rFonts w:eastAsia="Times New Roman"/>
          <w:sz w:val="22"/>
          <w:szCs w:val="22"/>
          <w:lang w:eastAsia="en-GB"/>
        </w:rPr>
        <w:t>(C02), continuing that, “</w:t>
      </w:r>
      <w:r w:rsidRPr="008820ED">
        <w:rPr>
          <w:rFonts w:eastAsia="Times New Roman"/>
          <w:i/>
          <w:iCs/>
          <w:sz w:val="22"/>
          <w:szCs w:val="22"/>
          <w:lang w:eastAsia="en-GB"/>
        </w:rPr>
        <w:t>we got around that by using – it sounds like Scooby Doo [laughing] – a disused lift shaft.  So that’s what we did”</w:t>
      </w:r>
      <w:r w:rsidRPr="008820ED">
        <w:rPr>
          <w:sz w:val="22"/>
          <w:szCs w:val="22"/>
        </w:rPr>
        <w:t xml:space="preserve"> </w:t>
      </w:r>
      <w:r w:rsidRPr="008820ED">
        <w:rPr>
          <w:rFonts w:eastAsia="Times New Roman"/>
          <w:sz w:val="22"/>
          <w:szCs w:val="22"/>
          <w:lang w:eastAsia="en-GB"/>
        </w:rPr>
        <w:t xml:space="preserve">(C02). </w:t>
      </w:r>
    </w:p>
    <w:p w14:paraId="29507BA7" w14:textId="77777777" w:rsidR="008820ED" w:rsidRPr="008820ED" w:rsidRDefault="008820ED" w:rsidP="008820ED">
      <w:pPr>
        <w:jc w:val="both"/>
        <w:rPr>
          <w:rFonts w:eastAsia="Times New Roman"/>
          <w:sz w:val="22"/>
          <w:szCs w:val="22"/>
          <w:lang w:eastAsia="en-GB"/>
        </w:rPr>
      </w:pPr>
    </w:p>
    <w:bookmarkEnd w:id="108"/>
    <w:p w14:paraId="71C5567F" w14:textId="77777777" w:rsidR="00075878" w:rsidRPr="008820ED" w:rsidRDefault="00075878" w:rsidP="00075878">
      <w:pPr>
        <w:pStyle w:val="Body"/>
        <w:rPr>
          <w:rFonts w:cs="Times New Roman"/>
          <w:color w:val="auto"/>
        </w:rPr>
      </w:pPr>
    </w:p>
    <w:p w14:paraId="63AA1F62" w14:textId="77777777" w:rsidR="00075878" w:rsidRPr="008820ED" w:rsidRDefault="00075878" w:rsidP="00580B6A">
      <w:pPr>
        <w:pStyle w:val="Body"/>
        <w:rPr>
          <w:rFonts w:cs="Times New Roman"/>
          <w:color w:val="auto"/>
        </w:rPr>
      </w:pPr>
    </w:p>
    <w:p w14:paraId="04B33FE4" w14:textId="54ED2456" w:rsidR="00075878" w:rsidRPr="00F758C6" w:rsidRDefault="00075878" w:rsidP="00075878">
      <w:pPr>
        <w:pStyle w:val="Heading"/>
        <w:rPr>
          <w:color w:val="auto"/>
          <w:lang w:val="en-US"/>
        </w:rPr>
      </w:pPr>
      <w:r w:rsidRPr="00F758C6">
        <w:rPr>
          <w:color w:val="auto"/>
          <w:lang w:val="en-US"/>
        </w:rPr>
        <w:t xml:space="preserve">REFERENCES   </w:t>
      </w:r>
    </w:p>
    <w:p w14:paraId="10899050" w14:textId="77777777" w:rsidR="00406C06" w:rsidRPr="00406C06" w:rsidRDefault="00F758C6" w:rsidP="00406C06">
      <w:pPr>
        <w:spacing w:after="120"/>
        <w:jc w:val="both"/>
        <w:rPr>
          <w:rStyle w:val="fontstyle01"/>
          <w:rFonts w:ascii="Times New Roman" w:hAnsi="Times New Roman"/>
          <w:sz w:val="22"/>
          <w:szCs w:val="22"/>
        </w:rPr>
      </w:pPr>
      <w:r w:rsidRPr="00406C06">
        <w:rPr>
          <w:sz w:val="22"/>
          <w:szCs w:val="22"/>
        </w:rPr>
        <w:t xml:space="preserve"> </w:t>
      </w:r>
      <w:proofErr w:type="spellStart"/>
      <w:r w:rsidR="00406C06" w:rsidRPr="00406C06">
        <w:rPr>
          <w:rStyle w:val="fontstyle01"/>
          <w:rFonts w:ascii="Times New Roman" w:hAnsi="Times New Roman"/>
          <w:sz w:val="22"/>
          <w:szCs w:val="22"/>
        </w:rPr>
        <w:t>Anfara</w:t>
      </w:r>
      <w:proofErr w:type="spellEnd"/>
      <w:r w:rsidR="00406C06" w:rsidRPr="00406C06">
        <w:rPr>
          <w:rStyle w:val="fontstyle01"/>
          <w:rFonts w:ascii="Times New Roman" w:hAnsi="Times New Roman"/>
          <w:sz w:val="22"/>
          <w:szCs w:val="22"/>
        </w:rPr>
        <w:t xml:space="preserve">, V.A., 2008. Theoretical Frameworks. In: L.M Given, ed. 2008. </w:t>
      </w:r>
      <w:r w:rsidR="00406C06" w:rsidRPr="00406C06">
        <w:rPr>
          <w:rStyle w:val="fontstyle21"/>
          <w:rFonts w:ascii="Times New Roman" w:hAnsi="Times New Roman"/>
          <w:sz w:val="22"/>
          <w:szCs w:val="22"/>
        </w:rPr>
        <w:t>The SAGE</w:t>
      </w:r>
      <w:r w:rsidR="00406C06" w:rsidRPr="00406C06">
        <w:rPr>
          <w:i/>
          <w:iCs/>
          <w:sz w:val="22"/>
          <w:szCs w:val="22"/>
        </w:rPr>
        <w:t xml:space="preserve"> </w:t>
      </w:r>
      <w:proofErr w:type="spellStart"/>
      <w:r w:rsidR="00406C06" w:rsidRPr="00406C06">
        <w:rPr>
          <w:rStyle w:val="fontstyle21"/>
          <w:rFonts w:ascii="Times New Roman" w:hAnsi="Times New Roman"/>
          <w:sz w:val="22"/>
          <w:szCs w:val="22"/>
        </w:rPr>
        <w:t>Encyclopaedia</w:t>
      </w:r>
      <w:proofErr w:type="spellEnd"/>
      <w:r w:rsidR="00406C06" w:rsidRPr="00406C06">
        <w:rPr>
          <w:rStyle w:val="fontstyle21"/>
          <w:rFonts w:ascii="Times New Roman" w:hAnsi="Times New Roman"/>
          <w:sz w:val="22"/>
          <w:szCs w:val="22"/>
        </w:rPr>
        <w:t xml:space="preserve"> of Qualitative Research Methods</w:t>
      </w:r>
      <w:r w:rsidR="00406C06" w:rsidRPr="00406C06">
        <w:rPr>
          <w:rStyle w:val="fontstyle01"/>
          <w:rFonts w:ascii="Times New Roman" w:hAnsi="Times New Roman"/>
          <w:sz w:val="22"/>
          <w:szCs w:val="22"/>
        </w:rPr>
        <w:t>. London: Sage Publications Ltd,</w:t>
      </w:r>
      <w:r w:rsidR="00406C06" w:rsidRPr="00406C06">
        <w:rPr>
          <w:sz w:val="22"/>
          <w:szCs w:val="22"/>
        </w:rPr>
        <w:t xml:space="preserve"> </w:t>
      </w:r>
      <w:r w:rsidR="00406C06" w:rsidRPr="00406C06">
        <w:rPr>
          <w:rStyle w:val="fontstyle01"/>
          <w:rFonts w:ascii="Times New Roman" w:hAnsi="Times New Roman"/>
          <w:sz w:val="22"/>
          <w:szCs w:val="22"/>
        </w:rPr>
        <w:t>pp.2-9.</w:t>
      </w:r>
    </w:p>
    <w:p w14:paraId="0871FDB2" w14:textId="77777777" w:rsidR="00406C06" w:rsidRPr="00406C06" w:rsidRDefault="00406C06" w:rsidP="00406C06">
      <w:pPr>
        <w:spacing w:after="120"/>
        <w:jc w:val="both"/>
        <w:rPr>
          <w:sz w:val="22"/>
          <w:szCs w:val="22"/>
        </w:rPr>
      </w:pPr>
      <w:bookmarkStart w:id="111" w:name="_Hlk63676205"/>
      <w:r w:rsidRPr="00406C06">
        <w:rPr>
          <w:sz w:val="22"/>
          <w:szCs w:val="22"/>
        </w:rPr>
        <w:t>Anderson and McFarlane (2011)</w:t>
      </w:r>
      <w:bookmarkEnd w:id="111"/>
      <w:r w:rsidRPr="00406C06">
        <w:rPr>
          <w:sz w:val="22"/>
          <w:szCs w:val="22"/>
        </w:rPr>
        <w:t xml:space="preserve"> Assemblage and geography, Area (2011) 43.2, 124–127</w:t>
      </w:r>
    </w:p>
    <w:p w14:paraId="181E44B9" w14:textId="77777777" w:rsidR="00406C06" w:rsidRPr="00406C06" w:rsidRDefault="00406C06" w:rsidP="00406C06">
      <w:pPr>
        <w:spacing w:after="120"/>
        <w:jc w:val="both"/>
        <w:rPr>
          <w:rFonts w:eastAsia="Times New Roman"/>
          <w:sz w:val="22"/>
          <w:szCs w:val="22"/>
          <w:lang w:eastAsia="en-GB"/>
        </w:rPr>
      </w:pPr>
      <w:r w:rsidRPr="00406C06">
        <w:rPr>
          <w:sz w:val="22"/>
          <w:szCs w:val="22"/>
        </w:rPr>
        <w:t>Baker T., &amp; McGuirk P., (2017) Assemblage thinking as methodology: commitments and practices for critical policy research, Territory, Politics, Governance, 5:4, 425-442.</w:t>
      </w:r>
    </w:p>
    <w:p w14:paraId="5C3F2361" w14:textId="77777777" w:rsidR="00406C06" w:rsidRPr="00406C06" w:rsidRDefault="00406C06" w:rsidP="00406C06">
      <w:pPr>
        <w:spacing w:after="120"/>
        <w:jc w:val="both"/>
        <w:rPr>
          <w:sz w:val="22"/>
          <w:szCs w:val="22"/>
        </w:rPr>
      </w:pPr>
      <w:r w:rsidRPr="00406C06">
        <w:rPr>
          <w:sz w:val="22"/>
          <w:szCs w:val="22"/>
          <w:lang w:eastAsia="en-GB"/>
        </w:rPr>
        <w:t xml:space="preserve">Bennett J. </w:t>
      </w:r>
      <w:r w:rsidRPr="00406C06">
        <w:rPr>
          <w:sz w:val="22"/>
          <w:szCs w:val="22"/>
        </w:rPr>
        <w:t xml:space="preserve">The Force of Things: Steps toward an Ecology of Matter, </w:t>
      </w:r>
      <w:r w:rsidRPr="00406C06">
        <w:rPr>
          <w:sz w:val="22"/>
          <w:szCs w:val="22"/>
          <w:lang w:eastAsia="en-GB"/>
        </w:rPr>
        <w:t>Political Theory 2004 32: 3, 347-372.</w:t>
      </w:r>
    </w:p>
    <w:p w14:paraId="7D3D2696" w14:textId="77777777" w:rsidR="00406C06" w:rsidRPr="00406C06" w:rsidRDefault="00406C06" w:rsidP="00406C06">
      <w:pPr>
        <w:pStyle w:val="NormalWeb"/>
        <w:spacing w:before="0" w:beforeAutospacing="0" w:after="120" w:afterAutospacing="0"/>
        <w:rPr>
          <w:sz w:val="22"/>
          <w:szCs w:val="22"/>
        </w:rPr>
      </w:pPr>
      <w:proofErr w:type="spellStart"/>
      <w:r w:rsidRPr="00406C06">
        <w:rPr>
          <w:sz w:val="22"/>
          <w:szCs w:val="22"/>
        </w:rPr>
        <w:t>DeLanda</w:t>
      </w:r>
      <w:proofErr w:type="spellEnd"/>
      <w:r w:rsidRPr="00406C06">
        <w:rPr>
          <w:sz w:val="22"/>
          <w:szCs w:val="22"/>
        </w:rPr>
        <w:t xml:space="preserve">, M. (2016) </w:t>
      </w:r>
      <w:r w:rsidRPr="00406C06">
        <w:rPr>
          <w:i/>
          <w:iCs/>
          <w:sz w:val="22"/>
          <w:szCs w:val="22"/>
        </w:rPr>
        <w:t>Assemblage Theory</w:t>
      </w:r>
      <w:r w:rsidRPr="00406C06">
        <w:rPr>
          <w:sz w:val="22"/>
          <w:szCs w:val="22"/>
        </w:rPr>
        <w:t>, Edinburgh University Press, Edinburgh.</w:t>
      </w:r>
    </w:p>
    <w:p w14:paraId="2DFE4D57" w14:textId="77777777" w:rsidR="00406C06" w:rsidRPr="00406C06" w:rsidRDefault="00406C06" w:rsidP="00406C06">
      <w:pPr>
        <w:spacing w:after="120"/>
        <w:jc w:val="both"/>
        <w:rPr>
          <w:rStyle w:val="fontstyle01"/>
          <w:rFonts w:ascii="Times New Roman" w:hAnsi="Times New Roman"/>
          <w:sz w:val="22"/>
          <w:szCs w:val="22"/>
        </w:rPr>
      </w:pPr>
      <w:proofErr w:type="spellStart"/>
      <w:r w:rsidRPr="00406C06">
        <w:rPr>
          <w:sz w:val="22"/>
          <w:szCs w:val="22"/>
        </w:rPr>
        <w:t>DeLanda</w:t>
      </w:r>
      <w:proofErr w:type="spellEnd"/>
      <w:r w:rsidRPr="00406C06">
        <w:rPr>
          <w:sz w:val="22"/>
          <w:szCs w:val="22"/>
        </w:rPr>
        <w:t xml:space="preserve">, M. (2017, June 2-5).  </w:t>
      </w:r>
      <w:r w:rsidRPr="00406C06">
        <w:rPr>
          <w:i/>
          <w:iCs/>
          <w:sz w:val="22"/>
          <w:szCs w:val="22"/>
        </w:rPr>
        <w:t>A Comparison of Deleuze's Assemblage Theory and the New Materialist Approach.</w:t>
      </w:r>
      <w:r w:rsidRPr="00406C06">
        <w:rPr>
          <w:sz w:val="22"/>
          <w:szCs w:val="22"/>
        </w:rPr>
        <w:t xml:space="preserve"> [Conference Presentation]. International Symposium Assemblage Thinking: Theory, Analysis, Practice and Governance. Lesvos, Greece. </w:t>
      </w:r>
      <w:r w:rsidRPr="00406C06">
        <w:rPr>
          <w:sz w:val="22"/>
          <w:szCs w:val="22"/>
          <w:u w:val="single"/>
        </w:rPr>
        <w:t>https://www.youtube.com/watch?v=VzJqOX4ASA8</w:t>
      </w:r>
    </w:p>
    <w:p w14:paraId="0FE9DE65" w14:textId="77777777" w:rsidR="00406C06" w:rsidRPr="00406C06" w:rsidRDefault="00406C06" w:rsidP="00406C06">
      <w:pPr>
        <w:spacing w:after="120"/>
        <w:jc w:val="both"/>
        <w:rPr>
          <w:sz w:val="22"/>
          <w:szCs w:val="22"/>
        </w:rPr>
      </w:pPr>
      <w:r w:rsidRPr="00406C06">
        <w:rPr>
          <w:rStyle w:val="fontstyle01"/>
          <w:rFonts w:ascii="Times New Roman" w:hAnsi="Times New Roman"/>
          <w:sz w:val="22"/>
          <w:szCs w:val="22"/>
        </w:rPr>
        <w:t xml:space="preserve">Denscombe, M., 1998. </w:t>
      </w:r>
      <w:r w:rsidRPr="00406C06">
        <w:rPr>
          <w:rStyle w:val="fontstyle21"/>
          <w:rFonts w:ascii="Times New Roman" w:hAnsi="Times New Roman"/>
          <w:sz w:val="22"/>
          <w:szCs w:val="22"/>
        </w:rPr>
        <w:t>The Good Research Guide: for small-scale social research</w:t>
      </w:r>
      <w:r w:rsidRPr="00406C06">
        <w:rPr>
          <w:i/>
          <w:iCs/>
          <w:sz w:val="22"/>
          <w:szCs w:val="22"/>
        </w:rPr>
        <w:br/>
      </w:r>
      <w:r w:rsidRPr="00406C06">
        <w:rPr>
          <w:rStyle w:val="fontstyle21"/>
          <w:rFonts w:ascii="Times New Roman" w:hAnsi="Times New Roman"/>
          <w:sz w:val="22"/>
          <w:szCs w:val="22"/>
        </w:rPr>
        <w:t>projects</w:t>
      </w:r>
      <w:r w:rsidRPr="00406C06">
        <w:rPr>
          <w:rStyle w:val="fontstyle01"/>
          <w:rFonts w:ascii="Times New Roman" w:hAnsi="Times New Roman"/>
          <w:sz w:val="22"/>
          <w:szCs w:val="22"/>
        </w:rPr>
        <w:t>. Maidenhead: Open University Press.</w:t>
      </w:r>
    </w:p>
    <w:p w14:paraId="1A058FBA" w14:textId="77777777" w:rsidR="00406C06" w:rsidRPr="00406C06" w:rsidRDefault="00406C06" w:rsidP="00406C06">
      <w:pPr>
        <w:spacing w:after="120"/>
        <w:jc w:val="both"/>
        <w:rPr>
          <w:sz w:val="22"/>
          <w:szCs w:val="22"/>
        </w:rPr>
      </w:pPr>
      <w:r w:rsidRPr="00406C06">
        <w:rPr>
          <w:sz w:val="22"/>
          <w:szCs w:val="22"/>
        </w:rPr>
        <w:t xml:space="preserve">Deleuze G and </w:t>
      </w:r>
      <w:proofErr w:type="spellStart"/>
      <w:r w:rsidRPr="00406C06">
        <w:rPr>
          <w:sz w:val="22"/>
          <w:szCs w:val="22"/>
        </w:rPr>
        <w:t>Guattari</w:t>
      </w:r>
      <w:proofErr w:type="spellEnd"/>
      <w:r w:rsidRPr="00406C06">
        <w:rPr>
          <w:sz w:val="22"/>
          <w:szCs w:val="22"/>
        </w:rPr>
        <w:t xml:space="preserve"> F (1980), </w:t>
      </w:r>
      <w:r w:rsidRPr="00406C06">
        <w:rPr>
          <w:i/>
          <w:iCs/>
          <w:sz w:val="22"/>
          <w:szCs w:val="22"/>
        </w:rPr>
        <w:t>A thousand plateaus: capitalism and schizophrenia</w:t>
      </w:r>
      <w:r w:rsidRPr="00406C06">
        <w:rPr>
          <w:sz w:val="22"/>
          <w:szCs w:val="22"/>
        </w:rPr>
        <w:t xml:space="preserve"> University of Minnesota Press, Minneapolis. Translation by </w:t>
      </w:r>
      <w:r w:rsidRPr="00406C06">
        <w:rPr>
          <w:sz w:val="22"/>
          <w:szCs w:val="22"/>
          <w:shd w:val="clear" w:color="auto" w:fill="FFFFFF"/>
        </w:rPr>
        <w:t xml:space="preserve">Brian </w:t>
      </w:r>
      <w:proofErr w:type="spellStart"/>
      <w:r w:rsidRPr="00406C06">
        <w:rPr>
          <w:sz w:val="22"/>
          <w:szCs w:val="22"/>
          <w:shd w:val="clear" w:color="auto" w:fill="FFFFFF"/>
        </w:rPr>
        <w:t>Massumi</w:t>
      </w:r>
      <w:proofErr w:type="spellEnd"/>
      <w:r w:rsidRPr="00406C06">
        <w:rPr>
          <w:sz w:val="22"/>
          <w:szCs w:val="22"/>
          <w:shd w:val="clear" w:color="auto" w:fill="FFFFFF"/>
        </w:rPr>
        <w:t xml:space="preserve"> (1987) </w:t>
      </w:r>
    </w:p>
    <w:p w14:paraId="62678D89" w14:textId="77777777" w:rsidR="00406C06" w:rsidRPr="00406C06" w:rsidRDefault="00406C06" w:rsidP="00406C06">
      <w:pPr>
        <w:spacing w:after="120"/>
        <w:jc w:val="both"/>
        <w:rPr>
          <w:sz w:val="22"/>
          <w:szCs w:val="22"/>
        </w:rPr>
      </w:pPr>
      <w:r w:rsidRPr="00406C06">
        <w:rPr>
          <w:sz w:val="22"/>
          <w:szCs w:val="22"/>
        </w:rPr>
        <w:t xml:space="preserve">Grosz E. (2001) </w:t>
      </w:r>
      <w:r w:rsidRPr="00406C06">
        <w:rPr>
          <w:i/>
          <w:iCs/>
          <w:sz w:val="22"/>
          <w:szCs w:val="22"/>
        </w:rPr>
        <w:t xml:space="preserve">Architecture from the Outside, </w:t>
      </w:r>
      <w:r w:rsidRPr="00406C06">
        <w:rPr>
          <w:sz w:val="22"/>
          <w:szCs w:val="22"/>
        </w:rPr>
        <w:t>MIT Press, Cambridge, MA</w:t>
      </w:r>
    </w:p>
    <w:p w14:paraId="39ADBF19" w14:textId="77777777" w:rsidR="00406C06" w:rsidRPr="00406C06" w:rsidRDefault="00406C06" w:rsidP="00406C06">
      <w:pPr>
        <w:spacing w:after="120"/>
        <w:jc w:val="both"/>
        <w:rPr>
          <w:rFonts w:eastAsia="Times New Roman"/>
          <w:sz w:val="22"/>
          <w:szCs w:val="22"/>
        </w:rPr>
      </w:pPr>
      <w:r w:rsidRPr="00406C06">
        <w:rPr>
          <w:rFonts w:eastAsia="Times New Roman"/>
          <w:sz w:val="22"/>
          <w:szCs w:val="22"/>
        </w:rPr>
        <w:t xml:space="preserve">Hillier, J. (2008). </w:t>
      </w:r>
      <w:r w:rsidRPr="00406C06">
        <w:rPr>
          <w:rFonts w:eastAsia="Times New Roman"/>
          <w:kern w:val="36"/>
          <w:sz w:val="22"/>
          <w:szCs w:val="22"/>
        </w:rPr>
        <w:t xml:space="preserve">Plan(e) Speaking: </w:t>
      </w:r>
      <w:proofErr w:type="gramStart"/>
      <w:r w:rsidRPr="00406C06">
        <w:rPr>
          <w:rFonts w:eastAsia="Times New Roman"/>
          <w:kern w:val="36"/>
          <w:sz w:val="22"/>
          <w:szCs w:val="22"/>
        </w:rPr>
        <w:t>a</w:t>
      </w:r>
      <w:proofErr w:type="gramEnd"/>
      <w:r w:rsidRPr="00406C06">
        <w:rPr>
          <w:rFonts w:eastAsia="Times New Roman"/>
          <w:kern w:val="36"/>
          <w:sz w:val="22"/>
          <w:szCs w:val="22"/>
        </w:rPr>
        <w:t xml:space="preserve"> Multiplanar Theory of Spatial Planning. Planning Theory, </w:t>
      </w:r>
      <w:r w:rsidRPr="00406C06">
        <w:rPr>
          <w:sz w:val="22"/>
          <w:szCs w:val="22"/>
        </w:rPr>
        <w:t>Vol 7(1): 24–50.</w:t>
      </w:r>
    </w:p>
    <w:p w14:paraId="5989055C" w14:textId="77777777" w:rsidR="00406C06" w:rsidRPr="00406C06" w:rsidRDefault="00406C06" w:rsidP="00406C06">
      <w:pPr>
        <w:spacing w:after="120"/>
        <w:jc w:val="both"/>
        <w:rPr>
          <w:rFonts w:eastAsia="Times New Roman"/>
          <w:sz w:val="22"/>
          <w:szCs w:val="22"/>
        </w:rPr>
      </w:pPr>
      <w:r w:rsidRPr="00406C06">
        <w:rPr>
          <w:rFonts w:eastAsia="Times New Roman"/>
          <w:sz w:val="22"/>
          <w:szCs w:val="22"/>
        </w:rPr>
        <w:t xml:space="preserve">Hillier, J. (2011). Strategic Navigation across Multiple Planes: towards a </w:t>
      </w:r>
      <w:proofErr w:type="spellStart"/>
      <w:r w:rsidRPr="00406C06">
        <w:rPr>
          <w:rFonts w:eastAsia="Times New Roman"/>
          <w:sz w:val="22"/>
          <w:szCs w:val="22"/>
        </w:rPr>
        <w:t>Deleuzean</w:t>
      </w:r>
      <w:proofErr w:type="spellEnd"/>
      <w:r w:rsidRPr="00406C06">
        <w:rPr>
          <w:rFonts w:eastAsia="Times New Roman"/>
          <w:sz w:val="22"/>
          <w:szCs w:val="22"/>
        </w:rPr>
        <w:t>-inspired methodology for strategic spatial planning. Town Planning Review, 82(5), 503–527.</w:t>
      </w:r>
    </w:p>
    <w:p w14:paraId="789F8E1C" w14:textId="77777777" w:rsidR="00406C06" w:rsidRPr="00406C06" w:rsidRDefault="00406C06" w:rsidP="00406C06">
      <w:pPr>
        <w:spacing w:after="120"/>
        <w:jc w:val="both"/>
        <w:rPr>
          <w:sz w:val="22"/>
          <w:szCs w:val="22"/>
          <w:shd w:val="clear" w:color="auto" w:fill="FFFFFF"/>
        </w:rPr>
      </w:pPr>
      <w:r w:rsidRPr="00406C06">
        <w:rPr>
          <w:sz w:val="22"/>
          <w:szCs w:val="22"/>
        </w:rPr>
        <w:t xml:space="preserve">Hillier, J. and Abrahams, G. (2013) </w:t>
      </w:r>
      <w:r w:rsidRPr="00406C06">
        <w:rPr>
          <w:i/>
          <w:iCs/>
          <w:sz w:val="22"/>
          <w:szCs w:val="22"/>
        </w:rPr>
        <w:t xml:space="preserve">Deleuze and </w:t>
      </w:r>
      <w:proofErr w:type="spellStart"/>
      <w:r w:rsidRPr="00406C06">
        <w:rPr>
          <w:i/>
          <w:iCs/>
          <w:sz w:val="22"/>
          <w:szCs w:val="22"/>
        </w:rPr>
        <w:t>Guattari</w:t>
      </w:r>
      <w:proofErr w:type="spellEnd"/>
      <w:r w:rsidRPr="00406C06">
        <w:rPr>
          <w:i/>
          <w:iCs/>
          <w:sz w:val="22"/>
          <w:szCs w:val="22"/>
        </w:rPr>
        <w:t>, Jean Hillier in conversation with Gareth Abrahams</w:t>
      </w:r>
      <w:r w:rsidRPr="00406C06">
        <w:rPr>
          <w:sz w:val="22"/>
          <w:szCs w:val="22"/>
        </w:rPr>
        <w:t>, Exploring Foundations for Planning Theory, AESOP Young Academics Network.</w:t>
      </w:r>
    </w:p>
    <w:p w14:paraId="1C1BB366" w14:textId="77777777" w:rsidR="00406C06" w:rsidRPr="00406C06" w:rsidRDefault="00406C06" w:rsidP="00406C06">
      <w:pPr>
        <w:spacing w:after="120"/>
        <w:jc w:val="both"/>
        <w:rPr>
          <w:sz w:val="22"/>
          <w:szCs w:val="22"/>
        </w:rPr>
      </w:pPr>
      <w:r w:rsidRPr="00406C06">
        <w:rPr>
          <w:sz w:val="22"/>
          <w:szCs w:val="22"/>
        </w:rPr>
        <w:t xml:space="preserve">Van </w:t>
      </w:r>
      <w:proofErr w:type="spellStart"/>
      <w:r w:rsidRPr="00406C06">
        <w:rPr>
          <w:sz w:val="22"/>
          <w:szCs w:val="22"/>
        </w:rPr>
        <w:t>Wezemael</w:t>
      </w:r>
      <w:proofErr w:type="spellEnd"/>
      <w:r w:rsidRPr="00406C06">
        <w:rPr>
          <w:sz w:val="22"/>
          <w:szCs w:val="22"/>
        </w:rPr>
        <w:t>, J. 2008. “The Contribution of Assemblage Theory and Minor Politics for Democratic</w:t>
      </w:r>
      <w:r w:rsidRPr="00406C06">
        <w:rPr>
          <w:sz w:val="22"/>
          <w:szCs w:val="22"/>
        </w:rPr>
        <w:br/>
        <w:t>Network Governance.” Planning Theory 7 (2): 165–185</w:t>
      </w:r>
    </w:p>
    <w:p w14:paraId="6DBE00D5" w14:textId="77777777" w:rsidR="00406C06" w:rsidRPr="00406C06" w:rsidRDefault="00406C06" w:rsidP="00406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jc w:val="both"/>
        <w:rPr>
          <w:b/>
          <w:bCs/>
          <w:sz w:val="22"/>
          <w:szCs w:val="22"/>
        </w:rPr>
      </w:pPr>
      <w:proofErr w:type="spellStart"/>
      <w:r w:rsidRPr="00406C06">
        <w:rPr>
          <w:sz w:val="22"/>
          <w:szCs w:val="22"/>
        </w:rPr>
        <w:t>Hooman</w:t>
      </w:r>
      <w:proofErr w:type="spellEnd"/>
      <w:r w:rsidRPr="00406C06">
        <w:rPr>
          <w:sz w:val="22"/>
          <w:szCs w:val="22"/>
        </w:rPr>
        <w:t xml:space="preserve"> F.A. &amp; McDonald A., (2019) Towards a </w:t>
      </w:r>
      <w:proofErr w:type="spellStart"/>
      <w:r w:rsidRPr="00406C06">
        <w:rPr>
          <w:sz w:val="22"/>
          <w:szCs w:val="22"/>
        </w:rPr>
        <w:t>Deleuzoguattarian</w:t>
      </w:r>
      <w:proofErr w:type="spellEnd"/>
      <w:r w:rsidRPr="00406C06">
        <w:rPr>
          <w:sz w:val="22"/>
          <w:szCs w:val="22"/>
        </w:rPr>
        <w:t xml:space="preserve"> methodology for urban design, Journal of Urbanism: International Research on Placemaking and Urban Sustainability, 12:2, 172-187.</w:t>
      </w:r>
    </w:p>
    <w:p w14:paraId="2D32CEBC" w14:textId="77777777" w:rsidR="00406C06" w:rsidRPr="00406C06" w:rsidRDefault="00406C06" w:rsidP="00406C06">
      <w:pPr>
        <w:spacing w:after="120"/>
        <w:jc w:val="both"/>
        <w:rPr>
          <w:sz w:val="22"/>
          <w:szCs w:val="22"/>
        </w:rPr>
      </w:pPr>
      <w:proofErr w:type="spellStart"/>
      <w:r w:rsidRPr="00406C06">
        <w:rPr>
          <w:sz w:val="22"/>
          <w:szCs w:val="22"/>
        </w:rPr>
        <w:t>Hondros</w:t>
      </w:r>
      <w:proofErr w:type="spellEnd"/>
      <w:r w:rsidRPr="00406C06">
        <w:rPr>
          <w:sz w:val="22"/>
          <w:szCs w:val="22"/>
        </w:rPr>
        <w:t xml:space="preserve">, J. (2017, June 2-5). </w:t>
      </w:r>
      <w:r w:rsidRPr="00406C06">
        <w:rPr>
          <w:i/>
          <w:iCs/>
          <w:sz w:val="22"/>
          <w:szCs w:val="22"/>
        </w:rPr>
        <w:t xml:space="preserve">Assemblage Theory and Actor-Network Theory: </w:t>
      </w:r>
      <w:proofErr w:type="gramStart"/>
      <w:r w:rsidRPr="00406C06">
        <w:rPr>
          <w:i/>
          <w:iCs/>
          <w:sz w:val="22"/>
          <w:szCs w:val="22"/>
        </w:rPr>
        <w:t>a</w:t>
      </w:r>
      <w:proofErr w:type="gramEnd"/>
      <w:r w:rsidRPr="00406C06">
        <w:rPr>
          <w:i/>
          <w:iCs/>
          <w:sz w:val="22"/>
          <w:szCs w:val="22"/>
        </w:rPr>
        <w:t xml:space="preserve"> Comparative, Empirical Case Study from Media Sociology </w:t>
      </w:r>
      <w:r w:rsidRPr="00406C06">
        <w:rPr>
          <w:sz w:val="22"/>
          <w:szCs w:val="22"/>
        </w:rPr>
        <w:t xml:space="preserve">[Conference Presentation]. International Symposium Assemblage Thinking: Theory, Analysis, Practice and Governance. Lesvos, Greece. </w:t>
      </w:r>
      <w:r w:rsidRPr="00406C06">
        <w:rPr>
          <w:sz w:val="22"/>
          <w:szCs w:val="22"/>
          <w:u w:val="single"/>
        </w:rPr>
        <w:t>https://www.youtube.com/watch?v=rHkcDlDTyH8</w:t>
      </w:r>
    </w:p>
    <w:p w14:paraId="1131D6BF" w14:textId="77777777" w:rsidR="00406C06" w:rsidRPr="00406C06" w:rsidRDefault="00406C06" w:rsidP="00406C06">
      <w:pPr>
        <w:spacing w:after="120"/>
        <w:jc w:val="both"/>
        <w:rPr>
          <w:bCs/>
          <w:sz w:val="22"/>
          <w:szCs w:val="22"/>
        </w:rPr>
      </w:pPr>
      <w:r w:rsidRPr="00406C06">
        <w:rPr>
          <w:sz w:val="22"/>
          <w:szCs w:val="22"/>
        </w:rPr>
        <w:t>Li, T. M. (2007). Practices of assemblage and community forest management. Economy and Society, 36(2), 263–293.</w:t>
      </w:r>
    </w:p>
    <w:p w14:paraId="400805B3" w14:textId="77777777" w:rsidR="00406C06" w:rsidRPr="00406C06" w:rsidRDefault="00406C06" w:rsidP="00406C06">
      <w:pPr>
        <w:spacing w:after="120"/>
        <w:jc w:val="both"/>
        <w:rPr>
          <w:bCs/>
          <w:sz w:val="22"/>
          <w:szCs w:val="22"/>
        </w:rPr>
      </w:pPr>
      <w:proofErr w:type="spellStart"/>
      <w:r w:rsidRPr="00406C06">
        <w:rPr>
          <w:rFonts w:eastAsia="Times New Roman"/>
          <w:bCs/>
          <w:sz w:val="22"/>
          <w:szCs w:val="22"/>
          <w:lang w:eastAsia="en-GB"/>
        </w:rPr>
        <w:t>Muminovic</w:t>
      </w:r>
      <w:proofErr w:type="spellEnd"/>
      <w:r w:rsidRPr="00406C06">
        <w:rPr>
          <w:rFonts w:eastAsia="Times New Roman"/>
          <w:bCs/>
          <w:sz w:val="22"/>
          <w:szCs w:val="22"/>
          <w:lang w:eastAsia="en-GB"/>
        </w:rPr>
        <w:t xml:space="preserve"> M </w:t>
      </w:r>
      <w:r w:rsidRPr="00406C06">
        <w:rPr>
          <w:bCs/>
          <w:i/>
          <w:sz w:val="22"/>
          <w:szCs w:val="22"/>
        </w:rPr>
        <w:t>Places as Assemblages: Paradigm Shift or Fashionable Nonsense?</w:t>
      </w:r>
      <w:r w:rsidRPr="00406C06">
        <w:rPr>
          <w:rFonts w:eastAsia="Times New Roman"/>
          <w:bCs/>
          <w:sz w:val="22"/>
          <w:szCs w:val="22"/>
          <w:lang w:eastAsia="en-GB"/>
        </w:rPr>
        <w:t xml:space="preserve"> Athens Journal of Architecture October 2015</w:t>
      </w:r>
    </w:p>
    <w:p w14:paraId="0ECF733B" w14:textId="77777777" w:rsidR="00406C06" w:rsidRPr="00406C06" w:rsidRDefault="00406C06" w:rsidP="00406C06">
      <w:pPr>
        <w:spacing w:after="120"/>
        <w:jc w:val="both"/>
        <w:rPr>
          <w:rFonts w:eastAsia="Times New Roman"/>
          <w:bCs/>
          <w:sz w:val="22"/>
          <w:szCs w:val="22"/>
          <w:lang w:eastAsia="en-GB"/>
        </w:rPr>
      </w:pPr>
      <w:r w:rsidRPr="00406C06">
        <w:rPr>
          <w:rFonts w:eastAsia="Times New Roman"/>
          <w:bCs/>
          <w:sz w:val="22"/>
          <w:szCs w:val="22"/>
          <w:lang w:eastAsia="en-GB"/>
        </w:rPr>
        <w:t xml:space="preserve">McFarlane, C. (2011) ‘Assemblage and critical urbanism’, </w:t>
      </w:r>
      <w:r w:rsidRPr="00406C06">
        <w:rPr>
          <w:rFonts w:eastAsia="Times New Roman"/>
          <w:bCs/>
          <w:i/>
          <w:iCs/>
          <w:sz w:val="22"/>
          <w:szCs w:val="22"/>
          <w:lang w:eastAsia="en-GB"/>
        </w:rPr>
        <w:t xml:space="preserve">City </w:t>
      </w:r>
      <w:r w:rsidRPr="00406C06">
        <w:rPr>
          <w:rFonts w:eastAsia="Times New Roman"/>
          <w:bCs/>
          <w:sz w:val="22"/>
          <w:szCs w:val="22"/>
          <w:lang w:eastAsia="en-GB"/>
        </w:rPr>
        <w:t>15 (2), pp. 204–224</w:t>
      </w:r>
    </w:p>
    <w:p w14:paraId="478451AF" w14:textId="77777777" w:rsidR="00406C06" w:rsidRPr="00406C06" w:rsidRDefault="00406C06" w:rsidP="00406C06">
      <w:pPr>
        <w:spacing w:after="120"/>
        <w:jc w:val="both"/>
        <w:rPr>
          <w:sz w:val="22"/>
          <w:szCs w:val="22"/>
        </w:rPr>
      </w:pPr>
      <w:r w:rsidRPr="00406C06">
        <w:rPr>
          <w:sz w:val="22"/>
          <w:szCs w:val="22"/>
        </w:rPr>
        <w:t xml:space="preserve">Simpson, E., 2021. </w:t>
      </w:r>
      <w:r w:rsidRPr="00406C06">
        <w:rPr>
          <w:rFonts w:eastAsia="Times New Roman"/>
          <w:kern w:val="36"/>
          <w:sz w:val="22"/>
          <w:szCs w:val="22"/>
        </w:rPr>
        <w:t xml:space="preserve">Almost 50 shops a day disappear from High Streets, [online]. </w:t>
      </w:r>
      <w:r w:rsidRPr="00406C06">
        <w:rPr>
          <w:sz w:val="22"/>
          <w:szCs w:val="22"/>
        </w:rPr>
        <w:t>5 September. Available at: https://www.bbc.co.uk/news/business-58433461 [Accessed 9 September 2021]</w:t>
      </w:r>
    </w:p>
    <w:p w14:paraId="3A3E89B4" w14:textId="77777777" w:rsidR="00406C06" w:rsidRPr="00406C06" w:rsidRDefault="00406C06" w:rsidP="00406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jc w:val="both"/>
        <w:rPr>
          <w:sz w:val="22"/>
          <w:szCs w:val="22"/>
        </w:rPr>
      </w:pPr>
      <w:r w:rsidRPr="00406C06">
        <w:rPr>
          <w:sz w:val="22"/>
          <w:szCs w:val="22"/>
        </w:rPr>
        <w:t xml:space="preserve">Timothy </w:t>
      </w:r>
      <w:proofErr w:type="spellStart"/>
      <w:r w:rsidRPr="00406C06">
        <w:rPr>
          <w:sz w:val="22"/>
          <w:szCs w:val="22"/>
        </w:rPr>
        <w:t>Rutzou</w:t>
      </w:r>
      <w:proofErr w:type="spellEnd"/>
      <w:r w:rsidRPr="00406C06">
        <w:rPr>
          <w:sz w:val="22"/>
          <w:szCs w:val="22"/>
        </w:rPr>
        <w:t xml:space="preserve">, Dave Elder-Vass, 2019 On Assemblages and Things: Fluidity, Stability, Causation Stories, and Formation Stories, </w:t>
      </w:r>
      <w:r w:rsidRPr="00406C06">
        <w:rPr>
          <w:i/>
          <w:iCs/>
          <w:sz w:val="22"/>
          <w:szCs w:val="22"/>
        </w:rPr>
        <w:t>Sociological Theory</w:t>
      </w:r>
      <w:r w:rsidRPr="00406C06">
        <w:rPr>
          <w:sz w:val="22"/>
          <w:szCs w:val="22"/>
        </w:rPr>
        <w:t xml:space="preserve"> 2019, Vol. 37(4) 401–424</w:t>
      </w:r>
    </w:p>
    <w:p w14:paraId="0C35A426" w14:textId="77777777" w:rsidR="00406C06" w:rsidRPr="00406C06" w:rsidRDefault="00406C06" w:rsidP="00406C06">
      <w:pPr>
        <w:spacing w:after="120"/>
        <w:jc w:val="both"/>
        <w:rPr>
          <w:sz w:val="22"/>
          <w:szCs w:val="22"/>
        </w:rPr>
      </w:pPr>
      <w:r w:rsidRPr="00406C06">
        <w:rPr>
          <w:sz w:val="22"/>
          <w:szCs w:val="22"/>
        </w:rPr>
        <w:t xml:space="preserve">Glenn C. Savage, </w:t>
      </w:r>
      <w:proofErr w:type="gramStart"/>
      <w:r w:rsidRPr="00406C06">
        <w:rPr>
          <w:sz w:val="22"/>
          <w:szCs w:val="22"/>
        </w:rPr>
        <w:t>What</w:t>
      </w:r>
      <w:proofErr w:type="gramEnd"/>
      <w:r w:rsidRPr="00406C06">
        <w:rPr>
          <w:sz w:val="22"/>
          <w:szCs w:val="22"/>
        </w:rPr>
        <w:t xml:space="preserve"> is policy assemblage? 2020, </w:t>
      </w:r>
      <w:r w:rsidRPr="00406C06">
        <w:rPr>
          <w:i/>
          <w:iCs/>
          <w:sz w:val="22"/>
          <w:szCs w:val="22"/>
        </w:rPr>
        <w:t>Territory, Politics, Governance</w:t>
      </w:r>
      <w:r w:rsidRPr="00406C06">
        <w:rPr>
          <w:sz w:val="22"/>
          <w:szCs w:val="22"/>
        </w:rPr>
        <w:t>, 2020, Vol. 8, NO. 3, 319–335</w:t>
      </w:r>
    </w:p>
    <w:p w14:paraId="00E6EC8C" w14:textId="77777777" w:rsidR="00406C06" w:rsidRPr="00406C06" w:rsidRDefault="00406C06" w:rsidP="00406C06">
      <w:pPr>
        <w:spacing w:after="120"/>
        <w:jc w:val="both"/>
        <w:rPr>
          <w:rFonts w:eastAsia="Times New Roman"/>
          <w:b/>
          <w:bCs/>
          <w:sz w:val="22"/>
          <w:szCs w:val="22"/>
          <w:lang w:eastAsia="en-GB"/>
        </w:rPr>
      </w:pPr>
      <w:proofErr w:type="spellStart"/>
      <w:r w:rsidRPr="00406C06">
        <w:rPr>
          <w:sz w:val="22"/>
          <w:szCs w:val="22"/>
        </w:rPr>
        <w:t>Soaita</w:t>
      </w:r>
      <w:proofErr w:type="spellEnd"/>
      <w:r w:rsidRPr="00406C06">
        <w:rPr>
          <w:sz w:val="22"/>
          <w:szCs w:val="22"/>
        </w:rPr>
        <w:t xml:space="preserve">, A. M. and McKee, K. (2019) Assembling a ‘kind of’ home in the UK private renting sector, </w:t>
      </w:r>
      <w:proofErr w:type="spellStart"/>
      <w:r w:rsidRPr="00406C06">
        <w:rPr>
          <w:i/>
          <w:iCs/>
          <w:sz w:val="22"/>
          <w:szCs w:val="22"/>
        </w:rPr>
        <w:t>Geoforum</w:t>
      </w:r>
      <w:proofErr w:type="spellEnd"/>
      <w:r w:rsidRPr="00406C06">
        <w:rPr>
          <w:sz w:val="22"/>
          <w:szCs w:val="22"/>
        </w:rPr>
        <w:t>, 103, pp. 148-157.</w:t>
      </w:r>
    </w:p>
    <w:p w14:paraId="360D66D0" w14:textId="77777777" w:rsidR="00406C06" w:rsidRPr="00406C06" w:rsidRDefault="00406C06" w:rsidP="00406C06">
      <w:pPr>
        <w:spacing w:after="120"/>
        <w:jc w:val="both"/>
        <w:rPr>
          <w:rFonts w:eastAsia="Times New Roman"/>
          <w:b/>
          <w:bCs/>
          <w:sz w:val="22"/>
          <w:szCs w:val="22"/>
          <w:lang w:eastAsia="en-GB"/>
        </w:rPr>
      </w:pPr>
      <w:r w:rsidRPr="00406C06">
        <w:rPr>
          <w:sz w:val="22"/>
          <w:szCs w:val="22"/>
        </w:rPr>
        <w:lastRenderedPageBreak/>
        <w:t>Wohl S, Tactical urbanism as a means of testing relational processes in space: A complex systems perspective, Planning Theory, 2018, Vol. 17(4) 472–493</w:t>
      </w:r>
    </w:p>
    <w:p w14:paraId="3B2E1CFE" w14:textId="77777777" w:rsidR="00406C06" w:rsidRPr="00406C06" w:rsidRDefault="00406C06" w:rsidP="00406C06">
      <w:pPr>
        <w:spacing w:after="120"/>
        <w:jc w:val="both"/>
        <w:rPr>
          <w:sz w:val="22"/>
          <w:szCs w:val="22"/>
          <w:u w:val="single"/>
        </w:rPr>
      </w:pPr>
      <w:r w:rsidRPr="00406C06">
        <w:rPr>
          <w:spacing w:val="-5"/>
          <w:sz w:val="22"/>
          <w:szCs w:val="22"/>
        </w:rPr>
        <w:t xml:space="preserve">Woods, M. </w:t>
      </w:r>
      <w:r w:rsidRPr="00406C06">
        <w:rPr>
          <w:sz w:val="22"/>
          <w:szCs w:val="22"/>
        </w:rPr>
        <w:t xml:space="preserve">(2017, June 2-5). </w:t>
      </w:r>
      <w:r w:rsidRPr="00406C06">
        <w:rPr>
          <w:spacing w:val="-5"/>
          <w:sz w:val="22"/>
          <w:szCs w:val="22"/>
        </w:rPr>
        <w:t xml:space="preserve">Assemblage, Place and Globalization. </w:t>
      </w:r>
      <w:r w:rsidRPr="00406C06">
        <w:rPr>
          <w:sz w:val="22"/>
          <w:szCs w:val="22"/>
        </w:rPr>
        <w:t xml:space="preserve">[Conference Presentation]. International Symposium Assemblage Thinking: Theory, Analysis, Practice and Governance. Lesvos, Greece. </w:t>
      </w:r>
      <w:hyperlink r:id="rId10" w:history="1">
        <w:r w:rsidRPr="00406C06">
          <w:rPr>
            <w:rStyle w:val="Hyperlink"/>
            <w:sz w:val="22"/>
            <w:szCs w:val="22"/>
          </w:rPr>
          <w:t>https://www.youtube.com/watch?v=2l3agcxgLpQ</w:t>
        </w:r>
      </w:hyperlink>
    </w:p>
    <w:p w14:paraId="731B22FF" w14:textId="77777777" w:rsidR="00406C06" w:rsidRPr="00406C06" w:rsidRDefault="00406C06" w:rsidP="00406C06">
      <w:pPr>
        <w:rPr>
          <w:sz w:val="22"/>
          <w:szCs w:val="22"/>
        </w:rPr>
      </w:pPr>
    </w:p>
    <w:p w14:paraId="729F18E3" w14:textId="731A91F6" w:rsidR="008C0A6B" w:rsidRPr="006C224F" w:rsidRDefault="008C0A6B">
      <w:pPr>
        <w:pStyle w:val="EmailContact"/>
        <w:rPr>
          <w:color w:val="auto"/>
        </w:rPr>
      </w:pPr>
    </w:p>
    <w:sectPr w:rsidR="008C0A6B" w:rsidRPr="006C224F">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425"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CBB1A" w14:textId="77777777" w:rsidR="000E7FEF" w:rsidRDefault="000E7FEF">
      <w:r>
        <w:separator/>
      </w:r>
    </w:p>
  </w:endnote>
  <w:endnote w:type="continuationSeparator" w:id="0">
    <w:p w14:paraId="121D02A9" w14:textId="77777777" w:rsidR="000E7FEF" w:rsidRDefault="000E7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ITC Franklin Gothic Book">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aux Next Regular">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45CF8" w14:textId="77777777" w:rsidR="00FB444A" w:rsidRDefault="00FB44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33D09" w14:textId="77777777" w:rsidR="008C0A6B" w:rsidRDefault="00AD0AC4">
    <w:pPr>
      <w:pStyle w:val="Footer"/>
      <w:pBdr>
        <w:top w:val="single" w:sz="4" w:space="0" w:color="000000"/>
      </w:pBdr>
      <w:tabs>
        <w:tab w:val="clear" w:pos="9026"/>
        <w:tab w:val="right" w:pos="9612"/>
      </w:tabs>
      <w:jc w:val="left"/>
    </w:pPr>
    <w:r>
      <w:t>28</w:t>
    </w:r>
    <w:r>
      <w:rPr>
        <w:rStyle w:val="FootnoteReference"/>
      </w:rPr>
      <w:t>TH</w:t>
    </w:r>
    <w:r>
      <w:t xml:space="preserve"> Annual PRRES Conference, 19</w:t>
    </w:r>
    <w:r>
      <w:rPr>
        <w:rStyle w:val="FootnoteReference"/>
      </w:rPr>
      <w:t>th</w:t>
    </w:r>
    <w:r>
      <w:t xml:space="preserve"> </w:t>
    </w:r>
    <w:r>
      <w:rPr>
        <w:rStyle w:val="FootnoteReference"/>
      </w:rPr>
      <w:t xml:space="preserve"> </w:t>
    </w:r>
    <w:r>
      <w:t>January 2022</w:t>
    </w:r>
    <w:r>
      <w:tab/>
    </w:r>
    <w:r>
      <w:fldChar w:fldCharType="begin"/>
    </w:r>
    <w:r>
      <w:instrText xml:space="preserve"> PAGE </w:instrText>
    </w:r>
    <w:r>
      <w:fldChar w:fldCharType="separate"/>
    </w:r>
    <w:r w:rsidR="002A324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E03EC" w14:textId="77777777" w:rsidR="00FB444A" w:rsidRDefault="00FB4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CB18E" w14:textId="77777777" w:rsidR="000E7FEF" w:rsidRDefault="000E7FEF">
      <w:r>
        <w:separator/>
      </w:r>
    </w:p>
  </w:footnote>
  <w:footnote w:type="continuationSeparator" w:id="0">
    <w:p w14:paraId="0EE27571" w14:textId="77777777" w:rsidR="000E7FEF" w:rsidRDefault="000E7FEF">
      <w:r>
        <w:continuationSeparator/>
      </w:r>
    </w:p>
  </w:footnote>
  <w:footnote w:type="continuationNotice" w:id="1">
    <w:p w14:paraId="05900A2F" w14:textId="77777777" w:rsidR="000E7FEF" w:rsidRDefault="000E7F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A8619" w14:textId="77777777" w:rsidR="00FB444A" w:rsidRDefault="00FB44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3031A" w14:textId="02BC5302" w:rsidR="00FB444A" w:rsidRDefault="006E5A69">
    <w:pPr>
      <w:pStyle w:val="Header"/>
    </w:pPr>
    <w:r>
      <w:rPr>
        <w:noProof/>
      </w:rPr>
      <mc:AlternateContent>
        <mc:Choice Requires="wps">
          <w:drawing>
            <wp:anchor distT="0" distB="0" distL="114300" distR="114300" simplePos="0" relativeHeight="251677696" behindDoc="0" locked="0" layoutInCell="0" allowOverlap="1" wp14:anchorId="0DC91A51" wp14:editId="61B9B32F">
              <wp:simplePos x="0" y="0"/>
              <wp:positionH relativeFrom="page">
                <wp:posOffset>0</wp:posOffset>
              </wp:positionH>
              <wp:positionV relativeFrom="page">
                <wp:posOffset>190500</wp:posOffset>
              </wp:positionV>
              <wp:extent cx="7556500" cy="192405"/>
              <wp:effectExtent l="0" t="0" r="6350" b="0"/>
              <wp:wrapNone/>
              <wp:docPr id="21" name="MSIPCM92c5413392064c78f138d584" descr="{&quot;HashCode&quot;:1610746136,&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192405"/>
                      </a:xfrm>
                      <a:prstGeom prst="rect">
                        <a:avLst/>
                      </a:prstGeom>
                      <a:noFill/>
                      <a:ln w="6350">
                        <a:noFill/>
                      </a:ln>
                      <a:effectLst/>
                      <a:sp3d/>
                      <a:extLst>
                        <a:ext uri="{91240B29-F687-4F45-9708-019B960494DF}">
                          <a14:hiddenLine xmlns:a14="http://schemas.microsoft.com/office/drawing/2010/main" w="6350">
                            <a:solidFill>
                              <a:prstClr val="black"/>
                            </a:solidFill>
                          </a14:hiddenLine>
                        </a:ext>
                      </a:extLst>
                    </wps:spPr>
                    <wps:style>
                      <a:lnRef idx="0">
                        <a:scrgbClr r="0" g="0" b="0"/>
                      </a:lnRef>
                      <a:fillRef idx="0">
                        <a:scrgbClr r="0" g="0" b="0"/>
                      </a:fillRef>
                      <a:effectRef idx="0">
                        <a:scrgbClr r="0" g="0" b="0"/>
                      </a:effectRef>
                      <a:fontRef idx="none"/>
                    </wps:style>
                    <wps:txbx>
                      <w:txbxContent>
                        <w:p w14:paraId="5732AA83" w14:textId="06AFE7C9" w:rsidR="006E5A69" w:rsidRPr="006E5A69" w:rsidRDefault="006E5A69" w:rsidP="006E5A69">
                          <w:pPr>
                            <w:jc w:val="center"/>
                            <w:rPr>
                              <w:rFonts w:ascii="Calibri" w:hAnsi="Calibri" w:cs="Calibri"/>
                              <w:color w:val="EEDC00"/>
                            </w:rPr>
                          </w:pPr>
                          <w:r w:rsidRPr="006E5A69">
                            <w:rPr>
                              <w:rFonts w:ascii="Calibri" w:hAnsi="Calibri" w:cs="Calibri"/>
                              <w:color w:val="EEDC00"/>
                            </w:rPr>
                            <w:t>RMIT Classification: Trusted</w:t>
                          </w:r>
                        </w:p>
                      </w:txbxContent>
                    </wps:txbx>
                    <wps:bodyPr rot="0" spcFirstLastPara="1" vertOverflow="overflow" horzOverflow="overflow" vert="horz" wrap="square" lIns="45719" tIns="0" rIns="45719" bIns="0" numCol="1" spcCol="38100" rtlCol="0" fromWordArt="0" anchor="t" anchorCtr="0" forceAA="0" compatLnSpc="1">
                      <a:prstTxWarp prst="textNoShape">
                        <a:avLst/>
                      </a:prstTxWarp>
                      <a:spAutoFit/>
                    </wps:bodyPr>
                  </wps:wsp>
                </a:graphicData>
              </a:graphic>
            </wp:anchor>
          </w:drawing>
        </mc:Choice>
        <mc:Fallback>
          <w:pict>
            <v:shapetype w14:anchorId="0DC91A51" id="_x0000_t202" coordsize="21600,21600" o:spt="202" path="m,l,21600r21600,l21600,xe">
              <v:stroke joinstyle="miter"/>
              <v:path gradientshapeok="t" o:connecttype="rect"/>
            </v:shapetype>
            <v:shape id="MSIPCM92c5413392064c78f138d584" o:spid="_x0000_s1026" type="#_x0000_t202" alt="{&quot;HashCode&quot;:1610746136,&quot;Height&quot;:842.0,&quot;Width&quot;:595.0,&quot;Placement&quot;:&quot;Header&quot;,&quot;Index&quot;:&quot;Primary&quot;,&quot;Section&quot;:1,&quot;Top&quot;:0.0,&quot;Left&quot;:0.0}" style="position:absolute;margin-left:0;margin-top:15pt;width:595pt;height:15.15pt;z-index:2516776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" o:allowincell="f" filled="f" stroked="f" strokeweight=".5pt">
              <v:textbox style="mso-fit-shape-to-text:t" inset="1.27mm,0,1.27mm,0">
                <w:txbxContent>
                  <w:p w14:paraId="5732AA83" w14:textId="06AFE7C9" w:rsidR="006E5A69" w:rsidRPr="006E5A69" w:rsidRDefault="006E5A69" w:rsidP="006E5A69">
                    <w:pPr>
                      <w:jc w:val="center"/>
                      <w:rPr>
                        <w:rFonts w:ascii="Calibri" w:hAnsi="Calibri" w:cs="Calibri"/>
                        <w:color w:val="EEDC00"/>
                      </w:rPr>
                    </w:pPr>
                    <w:r w:rsidRPr="006E5A69">
                      <w:rPr>
                        <w:rFonts w:ascii="Calibri" w:hAnsi="Calibri" w:cs="Calibri"/>
                        <w:color w:val="EEDC00"/>
                      </w:rPr>
                      <w:t>RMIT Classification: Trusted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C4BD" w14:textId="538B44E7" w:rsidR="008C0A6B" w:rsidRDefault="006E5A69">
    <w:pPr>
      <w:pStyle w:val="ConferenceDetails"/>
    </w:pPr>
    <w:r>
      <w:rPr>
        <w:noProof/>
      </w:rPr>
      <mc:AlternateContent>
        <mc:Choice Requires="wps">
          <w:drawing>
            <wp:anchor distT="0" distB="0" distL="114300" distR="114300" simplePos="0" relativeHeight="251678720" behindDoc="0" locked="0" layoutInCell="0" allowOverlap="1" wp14:anchorId="20DF39D9" wp14:editId="6C982E2E">
              <wp:simplePos x="0" y="0"/>
              <wp:positionH relativeFrom="page">
                <wp:posOffset>0</wp:posOffset>
              </wp:positionH>
              <wp:positionV relativeFrom="page">
                <wp:posOffset>190500</wp:posOffset>
              </wp:positionV>
              <wp:extent cx="7556500" cy="192405"/>
              <wp:effectExtent l="0" t="0" r="6350" b="0"/>
              <wp:wrapNone/>
              <wp:docPr id="22" name="MSIPCM6f524ab2b0769130bcc1a117" descr="{&quot;HashCode&quot;:1610746136,&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192405"/>
                      </a:xfrm>
                      <a:prstGeom prst="rect">
                        <a:avLst/>
                      </a:prstGeom>
                      <a:noFill/>
                      <a:ln w="6350">
                        <a:noFill/>
                      </a:ln>
                      <a:effectLst/>
                      <a:sp3d/>
                      <a:extLst>
                        <a:ext uri="{91240B29-F687-4F45-9708-019B960494DF}">
                          <a14:hiddenLine xmlns:a14="http://schemas.microsoft.com/office/drawing/2010/main" w="6350">
                            <a:solidFill>
                              <a:prstClr val="black"/>
                            </a:solidFill>
                          </a14:hiddenLine>
                        </a:ext>
                      </a:extLst>
                    </wps:spPr>
                    <wps:style>
                      <a:lnRef idx="0">
                        <a:scrgbClr r="0" g="0" b="0"/>
                      </a:lnRef>
                      <a:fillRef idx="0">
                        <a:scrgbClr r="0" g="0" b="0"/>
                      </a:fillRef>
                      <a:effectRef idx="0">
                        <a:scrgbClr r="0" g="0" b="0"/>
                      </a:effectRef>
                      <a:fontRef idx="none"/>
                    </wps:style>
                    <wps:txbx>
                      <w:txbxContent>
                        <w:p w14:paraId="53CFE5A3" w14:textId="219DA082" w:rsidR="006E5A69" w:rsidRPr="006E5A69" w:rsidRDefault="006E5A69" w:rsidP="006E5A69">
                          <w:pPr>
                            <w:jc w:val="center"/>
                            <w:rPr>
                              <w:rFonts w:ascii="Calibri" w:hAnsi="Calibri" w:cs="Calibri"/>
                              <w:color w:val="EEDC00"/>
                            </w:rPr>
                          </w:pPr>
                          <w:r w:rsidRPr="006E5A69">
                            <w:rPr>
                              <w:rFonts w:ascii="Calibri" w:hAnsi="Calibri" w:cs="Calibri"/>
                              <w:color w:val="EEDC00"/>
                            </w:rPr>
                            <w:t>RMIT Classification: Trusted</w:t>
                          </w:r>
                        </w:p>
                      </w:txbxContent>
                    </wps:txbx>
                    <wps:bodyPr rot="0" spcFirstLastPara="1" vertOverflow="overflow" horzOverflow="overflow" vert="horz" wrap="square" lIns="45719" tIns="0" rIns="45719" bIns="0" numCol="1" spcCol="38100" rtlCol="0" fromWordArt="0" anchor="t" anchorCtr="0" forceAA="0" compatLnSpc="1">
                      <a:prstTxWarp prst="textNoShape">
                        <a:avLst/>
                      </a:prstTxWarp>
                      <a:spAutoFit/>
                    </wps:bodyPr>
                  </wps:wsp>
                </a:graphicData>
              </a:graphic>
            </wp:anchor>
          </w:drawing>
        </mc:Choice>
        <mc:Fallback>
          <w:pict>
            <v:shapetype w14:anchorId="20DF39D9" id="_x0000_t202" coordsize="21600,21600" o:spt="202" path="m,l,21600r21600,l21600,xe">
              <v:stroke joinstyle="miter"/>
              <v:path gradientshapeok="t" o:connecttype="rect"/>
            </v:shapetype>
            <v:shape id="MSIPCM6f524ab2b0769130bcc1a117" o:spid="_x0000_s1027" type="#_x0000_t202" alt="{&quot;HashCode&quot;:1610746136,&quot;Height&quot;:842.0,&quot;Width&quot;:595.0,&quot;Placement&quot;:&quot;Header&quot;,&quot;Index&quot;:&quot;FirstPage&quot;,&quot;Section&quot;:1,&quot;Top&quot;:0.0,&quot;Left&quot;:0.0}" style="position:absolute;left:0;text-align:left;margin-left:0;margin-top:15pt;width:595pt;height:15.15pt;z-index:2516787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" o:allowincell="f" filled="f" stroked="f" strokeweight=".5pt">
              <v:textbox style="mso-fit-shape-to-text:t" inset="1.27mm,0,1.27mm,0">
                <w:txbxContent>
                  <w:p w14:paraId="53CFE5A3" w14:textId="219DA082" w:rsidR="006E5A69" w:rsidRPr="006E5A69" w:rsidRDefault="006E5A69" w:rsidP="006E5A69">
                    <w:pPr>
                      <w:jc w:val="center"/>
                      <w:rPr>
                        <w:rFonts w:ascii="Calibri" w:hAnsi="Calibri" w:cs="Calibri"/>
                        <w:color w:val="EEDC00"/>
                      </w:rPr>
                    </w:pPr>
                    <w:r w:rsidRPr="006E5A69">
                      <w:rPr>
                        <w:rFonts w:ascii="Calibri" w:hAnsi="Calibri" w:cs="Calibri"/>
                        <w:color w:val="EEDC00"/>
                      </w:rPr>
                      <w:t>RMIT Classification: Trusted</w:t>
                    </w:r>
                  </w:p>
                </w:txbxContent>
              </v:textbox>
              <w10:wrap anchorx="page" anchory="page"/>
            </v:shape>
          </w:pict>
        </mc:Fallback>
      </mc:AlternateContent>
    </w:r>
    <w:r w:rsidR="00AD0AC4">
      <w:t>28</w:t>
    </w:r>
    <w:r w:rsidR="00AD0AC4">
      <w:rPr>
        <w:rStyle w:val="FootnoteReference"/>
      </w:rPr>
      <w:t>TH</w:t>
    </w:r>
    <w:r w:rsidR="00AD0AC4">
      <w:t xml:space="preserve"> Annual Pacific Rim Real Estate Society Conference</w:t>
    </w:r>
  </w:p>
  <w:p w14:paraId="1C235D94" w14:textId="77777777" w:rsidR="008C0A6B" w:rsidRDefault="00AD0AC4">
    <w:pPr>
      <w:pStyle w:val="ConferenceDetails"/>
    </w:pPr>
    <w:r>
      <w:t>Online Virtual 19</w:t>
    </w:r>
    <w:r>
      <w:rPr>
        <w:rStyle w:val="FootnoteReference"/>
      </w:rPr>
      <w:t xml:space="preserve">th </w:t>
    </w:r>
    <w:r>
      <w:t xml:space="preserve"> January 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71D87"/>
    <w:multiLevelType w:val="hybridMultilevel"/>
    <w:tmpl w:val="0972C86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D737782"/>
    <w:multiLevelType w:val="hybridMultilevel"/>
    <w:tmpl w:val="EB7EDF76"/>
    <w:lvl w:ilvl="0" w:tplc="1AF6D190">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400648"/>
    <w:multiLevelType w:val="hybridMultilevel"/>
    <w:tmpl w:val="3DD8FFB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A1E08FF"/>
    <w:multiLevelType w:val="hybridMultilevel"/>
    <w:tmpl w:val="95AC4C7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AE96EC2"/>
    <w:multiLevelType w:val="hybridMultilevel"/>
    <w:tmpl w:val="A8565E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B3456A"/>
    <w:multiLevelType w:val="hybridMultilevel"/>
    <w:tmpl w:val="4CE0B6B6"/>
    <w:styleLink w:val="ImportedStyle1"/>
    <w:lvl w:ilvl="0" w:tplc="E57AFF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1CB5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2E66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74AC2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9CC9F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21004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D6F4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DA622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F4613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87E7C14"/>
    <w:multiLevelType w:val="multilevel"/>
    <w:tmpl w:val="ACB07B6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Roman"/>
      <w:lvlText w:val="%4."/>
      <w:lvlJc w:val="righ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FA845CD"/>
    <w:multiLevelType w:val="hybridMultilevel"/>
    <w:tmpl w:val="945C1B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3"/>
  </w:num>
  <w:num w:numId="6">
    <w:abstractNumId w:val="1"/>
  </w:num>
  <w:num w:numId="7">
    <w:abstractNumId w:val="7"/>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A6B"/>
    <w:rsid w:val="00011136"/>
    <w:rsid w:val="0002201C"/>
    <w:rsid w:val="00026869"/>
    <w:rsid w:val="00026967"/>
    <w:rsid w:val="00026AD2"/>
    <w:rsid w:val="00031A23"/>
    <w:rsid w:val="00043C8F"/>
    <w:rsid w:val="00051152"/>
    <w:rsid w:val="00054C07"/>
    <w:rsid w:val="00062CC0"/>
    <w:rsid w:val="00071D9B"/>
    <w:rsid w:val="00075878"/>
    <w:rsid w:val="00087B88"/>
    <w:rsid w:val="00093F54"/>
    <w:rsid w:val="00093F93"/>
    <w:rsid w:val="000A0762"/>
    <w:rsid w:val="000A7CF6"/>
    <w:rsid w:val="000B441C"/>
    <w:rsid w:val="000B6D4D"/>
    <w:rsid w:val="000C0128"/>
    <w:rsid w:val="000C21A3"/>
    <w:rsid w:val="000D6B1B"/>
    <w:rsid w:val="000D7641"/>
    <w:rsid w:val="000E0F15"/>
    <w:rsid w:val="000E7FEF"/>
    <w:rsid w:val="000F2C5F"/>
    <w:rsid w:val="000F4F81"/>
    <w:rsid w:val="000F6A9F"/>
    <w:rsid w:val="00103D8B"/>
    <w:rsid w:val="001166EA"/>
    <w:rsid w:val="00120657"/>
    <w:rsid w:val="00130AEA"/>
    <w:rsid w:val="001434F0"/>
    <w:rsid w:val="00144159"/>
    <w:rsid w:val="0015028D"/>
    <w:rsid w:val="001504C1"/>
    <w:rsid w:val="001507E0"/>
    <w:rsid w:val="00153624"/>
    <w:rsid w:val="00162C73"/>
    <w:rsid w:val="00176EB2"/>
    <w:rsid w:val="00182B7A"/>
    <w:rsid w:val="00183211"/>
    <w:rsid w:val="001928AD"/>
    <w:rsid w:val="00193801"/>
    <w:rsid w:val="00196375"/>
    <w:rsid w:val="001A2805"/>
    <w:rsid w:val="001A2A75"/>
    <w:rsid w:val="001A39D0"/>
    <w:rsid w:val="001C3D33"/>
    <w:rsid w:val="001C7058"/>
    <w:rsid w:val="001C783C"/>
    <w:rsid w:val="001D6CF0"/>
    <w:rsid w:val="001E1B55"/>
    <w:rsid w:val="001E67F9"/>
    <w:rsid w:val="001F6ADB"/>
    <w:rsid w:val="002008B0"/>
    <w:rsid w:val="002008CC"/>
    <w:rsid w:val="002009D6"/>
    <w:rsid w:val="00200A3E"/>
    <w:rsid w:val="00202765"/>
    <w:rsid w:val="00226074"/>
    <w:rsid w:val="0024115D"/>
    <w:rsid w:val="00254EF4"/>
    <w:rsid w:val="002603F5"/>
    <w:rsid w:val="0026062D"/>
    <w:rsid w:val="0026122A"/>
    <w:rsid w:val="00270310"/>
    <w:rsid w:val="00277469"/>
    <w:rsid w:val="00295899"/>
    <w:rsid w:val="002A3241"/>
    <w:rsid w:val="002A4765"/>
    <w:rsid w:val="002B2923"/>
    <w:rsid w:val="002B63E2"/>
    <w:rsid w:val="002C465A"/>
    <w:rsid w:val="002D3820"/>
    <w:rsid w:val="002E1C7B"/>
    <w:rsid w:val="002E2644"/>
    <w:rsid w:val="002F3A18"/>
    <w:rsid w:val="002F4759"/>
    <w:rsid w:val="00301950"/>
    <w:rsid w:val="0030252A"/>
    <w:rsid w:val="00307539"/>
    <w:rsid w:val="00325D7B"/>
    <w:rsid w:val="0032608F"/>
    <w:rsid w:val="00334BFE"/>
    <w:rsid w:val="00336F35"/>
    <w:rsid w:val="00342553"/>
    <w:rsid w:val="00344372"/>
    <w:rsid w:val="0035175E"/>
    <w:rsid w:val="00363497"/>
    <w:rsid w:val="00366ADA"/>
    <w:rsid w:val="003707BA"/>
    <w:rsid w:val="00372F69"/>
    <w:rsid w:val="00372FA5"/>
    <w:rsid w:val="003737F7"/>
    <w:rsid w:val="00380BAA"/>
    <w:rsid w:val="00382194"/>
    <w:rsid w:val="00384A3E"/>
    <w:rsid w:val="00390FA7"/>
    <w:rsid w:val="00392FD9"/>
    <w:rsid w:val="003A4073"/>
    <w:rsid w:val="003B541E"/>
    <w:rsid w:val="003F2D2D"/>
    <w:rsid w:val="003F6500"/>
    <w:rsid w:val="004011D1"/>
    <w:rsid w:val="004046B6"/>
    <w:rsid w:val="00406C06"/>
    <w:rsid w:val="0040772E"/>
    <w:rsid w:val="004120B6"/>
    <w:rsid w:val="00414735"/>
    <w:rsid w:val="00424E75"/>
    <w:rsid w:val="00424FCA"/>
    <w:rsid w:val="00427802"/>
    <w:rsid w:val="00437F59"/>
    <w:rsid w:val="00447DC6"/>
    <w:rsid w:val="00461F8F"/>
    <w:rsid w:val="00462D83"/>
    <w:rsid w:val="00464599"/>
    <w:rsid w:val="004665D7"/>
    <w:rsid w:val="00466C80"/>
    <w:rsid w:val="004723C2"/>
    <w:rsid w:val="00476370"/>
    <w:rsid w:val="00485633"/>
    <w:rsid w:val="00487692"/>
    <w:rsid w:val="00487F4F"/>
    <w:rsid w:val="004966EF"/>
    <w:rsid w:val="004A1809"/>
    <w:rsid w:val="004D2B67"/>
    <w:rsid w:val="004D4D45"/>
    <w:rsid w:val="004E0792"/>
    <w:rsid w:val="004E2D80"/>
    <w:rsid w:val="004E3D70"/>
    <w:rsid w:val="004E4B7B"/>
    <w:rsid w:val="004E7478"/>
    <w:rsid w:val="004F1B4D"/>
    <w:rsid w:val="004F4450"/>
    <w:rsid w:val="0050118F"/>
    <w:rsid w:val="00502852"/>
    <w:rsid w:val="00502C6B"/>
    <w:rsid w:val="00506398"/>
    <w:rsid w:val="0051546F"/>
    <w:rsid w:val="005159A9"/>
    <w:rsid w:val="00530F96"/>
    <w:rsid w:val="00536B0F"/>
    <w:rsid w:val="0054423E"/>
    <w:rsid w:val="005518C5"/>
    <w:rsid w:val="00561B62"/>
    <w:rsid w:val="00566564"/>
    <w:rsid w:val="00571C78"/>
    <w:rsid w:val="005749A2"/>
    <w:rsid w:val="00580B6A"/>
    <w:rsid w:val="00591818"/>
    <w:rsid w:val="005A08FA"/>
    <w:rsid w:val="005B1700"/>
    <w:rsid w:val="005B42BF"/>
    <w:rsid w:val="005B5B93"/>
    <w:rsid w:val="005C426D"/>
    <w:rsid w:val="005D1657"/>
    <w:rsid w:val="005E0F94"/>
    <w:rsid w:val="005E54FE"/>
    <w:rsid w:val="005E7FC2"/>
    <w:rsid w:val="005F28BB"/>
    <w:rsid w:val="005F6BA0"/>
    <w:rsid w:val="006018A3"/>
    <w:rsid w:val="00605AE7"/>
    <w:rsid w:val="00610394"/>
    <w:rsid w:val="0061554D"/>
    <w:rsid w:val="00615840"/>
    <w:rsid w:val="00621174"/>
    <w:rsid w:val="0062491B"/>
    <w:rsid w:val="0064167A"/>
    <w:rsid w:val="006450AA"/>
    <w:rsid w:val="006509A1"/>
    <w:rsid w:val="006620E6"/>
    <w:rsid w:val="00666F67"/>
    <w:rsid w:val="0068375B"/>
    <w:rsid w:val="00690BAE"/>
    <w:rsid w:val="00696707"/>
    <w:rsid w:val="006A12F4"/>
    <w:rsid w:val="006B0789"/>
    <w:rsid w:val="006B0A2A"/>
    <w:rsid w:val="006B46DD"/>
    <w:rsid w:val="006C224F"/>
    <w:rsid w:val="006C30A4"/>
    <w:rsid w:val="006C4559"/>
    <w:rsid w:val="006C5CA8"/>
    <w:rsid w:val="006C6F4E"/>
    <w:rsid w:val="006D59A7"/>
    <w:rsid w:val="006D7F4E"/>
    <w:rsid w:val="006E3A00"/>
    <w:rsid w:val="006E5A69"/>
    <w:rsid w:val="006E6677"/>
    <w:rsid w:val="00720504"/>
    <w:rsid w:val="00721927"/>
    <w:rsid w:val="00727836"/>
    <w:rsid w:val="00742BB5"/>
    <w:rsid w:val="00744945"/>
    <w:rsid w:val="00754C9B"/>
    <w:rsid w:val="00761B41"/>
    <w:rsid w:val="00763FAB"/>
    <w:rsid w:val="00771C53"/>
    <w:rsid w:val="00775044"/>
    <w:rsid w:val="00787B71"/>
    <w:rsid w:val="0079704F"/>
    <w:rsid w:val="007A2E30"/>
    <w:rsid w:val="007A6E5E"/>
    <w:rsid w:val="007B02E8"/>
    <w:rsid w:val="007B0763"/>
    <w:rsid w:val="007B08C0"/>
    <w:rsid w:val="007B28C8"/>
    <w:rsid w:val="007B3311"/>
    <w:rsid w:val="007B54B7"/>
    <w:rsid w:val="007C67BF"/>
    <w:rsid w:val="007D019F"/>
    <w:rsid w:val="007D3A05"/>
    <w:rsid w:val="007D5E6C"/>
    <w:rsid w:val="007E4038"/>
    <w:rsid w:val="007E5469"/>
    <w:rsid w:val="007F0D77"/>
    <w:rsid w:val="007F5807"/>
    <w:rsid w:val="00800D7D"/>
    <w:rsid w:val="0080559B"/>
    <w:rsid w:val="00811E48"/>
    <w:rsid w:val="0081729E"/>
    <w:rsid w:val="00821EEA"/>
    <w:rsid w:val="00850122"/>
    <w:rsid w:val="0085261F"/>
    <w:rsid w:val="0086299B"/>
    <w:rsid w:val="00865805"/>
    <w:rsid w:val="00876F6D"/>
    <w:rsid w:val="00877D0B"/>
    <w:rsid w:val="008820ED"/>
    <w:rsid w:val="00882BA8"/>
    <w:rsid w:val="00884B33"/>
    <w:rsid w:val="008859FE"/>
    <w:rsid w:val="00892369"/>
    <w:rsid w:val="0089326C"/>
    <w:rsid w:val="008A6B64"/>
    <w:rsid w:val="008B45BB"/>
    <w:rsid w:val="008B5F0A"/>
    <w:rsid w:val="008C0A6B"/>
    <w:rsid w:val="008C691C"/>
    <w:rsid w:val="008D353F"/>
    <w:rsid w:val="008E0434"/>
    <w:rsid w:val="008E3A7F"/>
    <w:rsid w:val="008E3D82"/>
    <w:rsid w:val="008E51DA"/>
    <w:rsid w:val="008E5B24"/>
    <w:rsid w:val="008E7AFA"/>
    <w:rsid w:val="008F471C"/>
    <w:rsid w:val="0091077A"/>
    <w:rsid w:val="009130E2"/>
    <w:rsid w:val="009131DB"/>
    <w:rsid w:val="00915224"/>
    <w:rsid w:val="00920B58"/>
    <w:rsid w:val="00927CEE"/>
    <w:rsid w:val="0093386F"/>
    <w:rsid w:val="00936E29"/>
    <w:rsid w:val="0095437E"/>
    <w:rsid w:val="00955E50"/>
    <w:rsid w:val="009674D7"/>
    <w:rsid w:val="009731D4"/>
    <w:rsid w:val="00973BDF"/>
    <w:rsid w:val="00973FC7"/>
    <w:rsid w:val="00983575"/>
    <w:rsid w:val="00983B82"/>
    <w:rsid w:val="00984E01"/>
    <w:rsid w:val="009A23CA"/>
    <w:rsid w:val="009A4B67"/>
    <w:rsid w:val="009C0B5D"/>
    <w:rsid w:val="009D00B5"/>
    <w:rsid w:val="009D1266"/>
    <w:rsid w:val="009D169B"/>
    <w:rsid w:val="009D4E04"/>
    <w:rsid w:val="009E1FD9"/>
    <w:rsid w:val="009F256A"/>
    <w:rsid w:val="00A004FE"/>
    <w:rsid w:val="00A10140"/>
    <w:rsid w:val="00A1049A"/>
    <w:rsid w:val="00A109B5"/>
    <w:rsid w:val="00A1285D"/>
    <w:rsid w:val="00A15C5C"/>
    <w:rsid w:val="00A1670B"/>
    <w:rsid w:val="00A16861"/>
    <w:rsid w:val="00A17E74"/>
    <w:rsid w:val="00A337CD"/>
    <w:rsid w:val="00A42F44"/>
    <w:rsid w:val="00A46A9E"/>
    <w:rsid w:val="00A46B68"/>
    <w:rsid w:val="00A51C99"/>
    <w:rsid w:val="00A5690B"/>
    <w:rsid w:val="00A61CC5"/>
    <w:rsid w:val="00A631C3"/>
    <w:rsid w:val="00A73E31"/>
    <w:rsid w:val="00A76D77"/>
    <w:rsid w:val="00A85913"/>
    <w:rsid w:val="00A9258A"/>
    <w:rsid w:val="00AA0D2F"/>
    <w:rsid w:val="00AA23A3"/>
    <w:rsid w:val="00AA260C"/>
    <w:rsid w:val="00AB7002"/>
    <w:rsid w:val="00AC581D"/>
    <w:rsid w:val="00AC7611"/>
    <w:rsid w:val="00AD0522"/>
    <w:rsid w:val="00AD0AC4"/>
    <w:rsid w:val="00AD487B"/>
    <w:rsid w:val="00AD6A8B"/>
    <w:rsid w:val="00AD6EB2"/>
    <w:rsid w:val="00AD7FE7"/>
    <w:rsid w:val="00AE19E3"/>
    <w:rsid w:val="00AE3CA1"/>
    <w:rsid w:val="00AE5959"/>
    <w:rsid w:val="00AF04E0"/>
    <w:rsid w:val="00AF2B2D"/>
    <w:rsid w:val="00AF2EC0"/>
    <w:rsid w:val="00AF4ABC"/>
    <w:rsid w:val="00B02656"/>
    <w:rsid w:val="00B04E44"/>
    <w:rsid w:val="00B0648B"/>
    <w:rsid w:val="00B15899"/>
    <w:rsid w:val="00B21269"/>
    <w:rsid w:val="00B21E06"/>
    <w:rsid w:val="00B269AB"/>
    <w:rsid w:val="00B320D4"/>
    <w:rsid w:val="00B3691A"/>
    <w:rsid w:val="00B452BF"/>
    <w:rsid w:val="00B54BDA"/>
    <w:rsid w:val="00B5635E"/>
    <w:rsid w:val="00B73107"/>
    <w:rsid w:val="00B7329C"/>
    <w:rsid w:val="00B80338"/>
    <w:rsid w:val="00B92890"/>
    <w:rsid w:val="00B95EE1"/>
    <w:rsid w:val="00BA4631"/>
    <w:rsid w:val="00BA5EF9"/>
    <w:rsid w:val="00BA7EC7"/>
    <w:rsid w:val="00BB4B82"/>
    <w:rsid w:val="00BB68B5"/>
    <w:rsid w:val="00BB75CD"/>
    <w:rsid w:val="00BC2C38"/>
    <w:rsid w:val="00BC32AF"/>
    <w:rsid w:val="00BC4627"/>
    <w:rsid w:val="00BC4A42"/>
    <w:rsid w:val="00BC4B96"/>
    <w:rsid w:val="00BD6A36"/>
    <w:rsid w:val="00BE49BC"/>
    <w:rsid w:val="00BE6E6E"/>
    <w:rsid w:val="00BF0015"/>
    <w:rsid w:val="00BF3469"/>
    <w:rsid w:val="00BF5972"/>
    <w:rsid w:val="00C171AF"/>
    <w:rsid w:val="00C26660"/>
    <w:rsid w:val="00C37258"/>
    <w:rsid w:val="00C4157E"/>
    <w:rsid w:val="00C53DE0"/>
    <w:rsid w:val="00C54AD9"/>
    <w:rsid w:val="00C62533"/>
    <w:rsid w:val="00C62CD0"/>
    <w:rsid w:val="00C64B01"/>
    <w:rsid w:val="00C75032"/>
    <w:rsid w:val="00C80FA4"/>
    <w:rsid w:val="00C903F4"/>
    <w:rsid w:val="00C95500"/>
    <w:rsid w:val="00CA4F86"/>
    <w:rsid w:val="00CB06CA"/>
    <w:rsid w:val="00CB31F0"/>
    <w:rsid w:val="00CB3473"/>
    <w:rsid w:val="00CB6EEF"/>
    <w:rsid w:val="00CB7F7D"/>
    <w:rsid w:val="00CC696B"/>
    <w:rsid w:val="00CD55A9"/>
    <w:rsid w:val="00CD655E"/>
    <w:rsid w:val="00D03C6D"/>
    <w:rsid w:val="00D237A3"/>
    <w:rsid w:val="00D3332C"/>
    <w:rsid w:val="00D4051A"/>
    <w:rsid w:val="00D47605"/>
    <w:rsid w:val="00D47AFC"/>
    <w:rsid w:val="00D5279F"/>
    <w:rsid w:val="00D541DF"/>
    <w:rsid w:val="00D57FBA"/>
    <w:rsid w:val="00D62468"/>
    <w:rsid w:val="00D6338D"/>
    <w:rsid w:val="00D856AF"/>
    <w:rsid w:val="00D92EF1"/>
    <w:rsid w:val="00D94361"/>
    <w:rsid w:val="00D9460A"/>
    <w:rsid w:val="00D95485"/>
    <w:rsid w:val="00DA5882"/>
    <w:rsid w:val="00DA5ED9"/>
    <w:rsid w:val="00DB1EF1"/>
    <w:rsid w:val="00DB4398"/>
    <w:rsid w:val="00DC0602"/>
    <w:rsid w:val="00DC1BE1"/>
    <w:rsid w:val="00DC7ACA"/>
    <w:rsid w:val="00DD675A"/>
    <w:rsid w:val="00DD692D"/>
    <w:rsid w:val="00DD6C5B"/>
    <w:rsid w:val="00DD7387"/>
    <w:rsid w:val="00DD7403"/>
    <w:rsid w:val="00DD7F6B"/>
    <w:rsid w:val="00DE1897"/>
    <w:rsid w:val="00DE35D8"/>
    <w:rsid w:val="00DE5DF2"/>
    <w:rsid w:val="00E01EDD"/>
    <w:rsid w:val="00E07B01"/>
    <w:rsid w:val="00E10EEE"/>
    <w:rsid w:val="00E23639"/>
    <w:rsid w:val="00E24303"/>
    <w:rsid w:val="00E246A3"/>
    <w:rsid w:val="00E30B8B"/>
    <w:rsid w:val="00E324F5"/>
    <w:rsid w:val="00E460E5"/>
    <w:rsid w:val="00E56953"/>
    <w:rsid w:val="00E56FF6"/>
    <w:rsid w:val="00E653C3"/>
    <w:rsid w:val="00E75B6A"/>
    <w:rsid w:val="00E77E35"/>
    <w:rsid w:val="00E81A4A"/>
    <w:rsid w:val="00E94DFB"/>
    <w:rsid w:val="00E97A69"/>
    <w:rsid w:val="00EB6959"/>
    <w:rsid w:val="00EC741E"/>
    <w:rsid w:val="00ED23E9"/>
    <w:rsid w:val="00ED30C5"/>
    <w:rsid w:val="00ED68C4"/>
    <w:rsid w:val="00EE4835"/>
    <w:rsid w:val="00EF4605"/>
    <w:rsid w:val="00F07B07"/>
    <w:rsid w:val="00F10F9F"/>
    <w:rsid w:val="00F20310"/>
    <w:rsid w:val="00F31E8E"/>
    <w:rsid w:val="00F35430"/>
    <w:rsid w:val="00F43E9A"/>
    <w:rsid w:val="00F51631"/>
    <w:rsid w:val="00F52256"/>
    <w:rsid w:val="00F53AB6"/>
    <w:rsid w:val="00F56FBF"/>
    <w:rsid w:val="00F63D66"/>
    <w:rsid w:val="00F71C51"/>
    <w:rsid w:val="00F758C6"/>
    <w:rsid w:val="00F868B1"/>
    <w:rsid w:val="00F94B16"/>
    <w:rsid w:val="00FA19AD"/>
    <w:rsid w:val="00FA758E"/>
    <w:rsid w:val="00FB444A"/>
    <w:rsid w:val="00FC18DD"/>
    <w:rsid w:val="00FC296A"/>
    <w:rsid w:val="00FD29AB"/>
    <w:rsid w:val="00FD3C16"/>
    <w:rsid w:val="00FD692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15328D"/>
  <w15:docId w15:val="{F9C289D6-10AC-4CEF-A5A2-EDAAC48C8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487F4F"/>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pPr>
    <w:rPr>
      <w:rFonts w:ascii="Cambria" w:eastAsia="Times New Roman" w:hAnsi="Cambria"/>
      <w:b/>
      <w:bCs/>
      <w:kern w:val="32"/>
      <w:sz w:val="32"/>
      <w:szCs w:val="32"/>
      <w:bdr w:val="none" w:sz="0" w:space="0" w:color="auto"/>
      <w:lang w:val="en-GB" w:eastAsia="en-GB"/>
    </w:rPr>
  </w:style>
  <w:style w:type="paragraph" w:styleId="Heading2">
    <w:name w:val="heading 2"/>
    <w:next w:val="Body"/>
    <w:link w:val="Heading2Char"/>
    <w:uiPriority w:val="9"/>
    <w:unhideWhenUsed/>
    <w:qFormat/>
    <w:pPr>
      <w:keepNext/>
      <w:spacing w:before="240" w:after="60"/>
      <w:jc w:val="both"/>
      <w:outlineLvl w:val="1"/>
    </w:pPr>
    <w:rPr>
      <w:rFonts w:cs="Arial Unicode MS"/>
      <w:b/>
      <w:bCs/>
      <w:color w:val="000000"/>
      <w:sz w:val="24"/>
      <w:szCs w:val="24"/>
      <w:u w:color="000000"/>
      <w:lang w:val="en-US"/>
      <w14:textOutline w14:w="0" w14:cap="flat" w14:cmpd="sng" w14:algn="ctr">
        <w14:noFill/>
        <w14:prstDash w14:val="solid"/>
        <w14:bevel/>
      </w14:textOutline>
    </w:rPr>
  </w:style>
  <w:style w:type="paragraph" w:styleId="Heading3">
    <w:name w:val="heading 3"/>
    <w:next w:val="Body"/>
    <w:link w:val="Heading3Char"/>
    <w:uiPriority w:val="9"/>
    <w:unhideWhenUsed/>
    <w:qFormat/>
    <w:pPr>
      <w:keepNext/>
      <w:spacing w:before="240" w:after="60"/>
      <w:jc w:val="both"/>
      <w:outlineLvl w:val="2"/>
    </w:pPr>
    <w:rPr>
      <w:rFonts w:cs="Arial Unicode MS"/>
      <w:b/>
      <w:bCs/>
      <w:color w:val="000000"/>
      <w:sz w:val="22"/>
      <w:szCs w:val="22"/>
      <w:u w:color="000000"/>
      <w:lang w:val="en-US"/>
      <w14:textOutline w14:w="0" w14:cap="flat" w14:cmpd="sng" w14:algn="ctr">
        <w14:noFill/>
        <w14:prstDash w14:val="solid"/>
        <w14:bevel/>
      </w14:textOutline>
    </w:rPr>
  </w:style>
  <w:style w:type="paragraph" w:styleId="Heading4">
    <w:name w:val="heading 4"/>
    <w:next w:val="Body"/>
    <w:link w:val="Heading4Char"/>
    <w:uiPriority w:val="9"/>
    <w:unhideWhenUsed/>
    <w:qFormat/>
    <w:pPr>
      <w:keepNext/>
      <w:spacing w:before="240" w:after="60"/>
      <w:jc w:val="both"/>
      <w:outlineLvl w:val="3"/>
    </w:pPr>
    <w:rPr>
      <w:rFonts w:cs="Arial Unicode MS"/>
      <w:b/>
      <w:bCs/>
      <w:color w:val="000000"/>
      <w:u w:color="000000"/>
      <w:lang w:val="en-US"/>
    </w:rPr>
  </w:style>
  <w:style w:type="paragraph" w:styleId="Heading5">
    <w:name w:val="heading 5"/>
    <w:basedOn w:val="Normal"/>
    <w:next w:val="Normal"/>
    <w:link w:val="Heading5Char"/>
    <w:uiPriority w:val="9"/>
    <w:qFormat/>
    <w:rsid w:val="00487F4F"/>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ascii="Calibri" w:eastAsia="Times New Roman" w:hAnsi="Calibri"/>
      <w:b/>
      <w:bCs/>
      <w:i/>
      <w:iCs/>
      <w:sz w:val="26"/>
      <w:szCs w:val="26"/>
      <w:bdr w:val="none" w:sz="0" w:space="0" w:color="auto"/>
      <w:lang w:val="en-GB" w:eastAsia="en-GB"/>
    </w:rPr>
  </w:style>
  <w:style w:type="paragraph" w:styleId="Heading6">
    <w:name w:val="heading 6"/>
    <w:basedOn w:val="Normal"/>
    <w:next w:val="Normal"/>
    <w:link w:val="Heading6Char"/>
    <w:uiPriority w:val="9"/>
    <w:qFormat/>
    <w:rsid w:val="00487F4F"/>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ascii="Calibri" w:eastAsia="Times New Roman" w:hAnsi="Calibri"/>
      <w:b/>
      <w:bCs/>
      <w:sz w:val="22"/>
      <w:szCs w:val="22"/>
      <w:bdr w:val="none" w:sz="0" w:space="0" w:color="auto"/>
      <w:lang w:val="en-GB" w:eastAsia="en-GB"/>
    </w:rPr>
  </w:style>
  <w:style w:type="paragraph" w:styleId="Heading7">
    <w:name w:val="heading 7"/>
    <w:basedOn w:val="Normal"/>
    <w:next w:val="Normal"/>
    <w:link w:val="Heading7Char"/>
    <w:semiHidden/>
    <w:unhideWhenUsed/>
    <w:qFormat/>
    <w:rsid w:val="00487F4F"/>
    <w:pPr>
      <w:pBdr>
        <w:top w:val="none" w:sz="0" w:space="0" w:color="auto"/>
        <w:left w:val="none" w:sz="0" w:space="0" w:color="auto"/>
        <w:bottom w:val="none" w:sz="0" w:space="0" w:color="auto"/>
        <w:right w:val="none" w:sz="0" w:space="0" w:color="auto"/>
        <w:between w:val="none" w:sz="0" w:space="0" w:color="auto"/>
        <w:bar w:val="none" w:sz="0" w:color="auto"/>
      </w:pBdr>
      <w:spacing w:before="240" w:after="60"/>
      <w:ind w:left="1296" w:hanging="1296"/>
      <w:outlineLvl w:val="6"/>
    </w:pPr>
    <w:rPr>
      <w:rFonts w:ascii="Calibri" w:eastAsia="Times New Roman" w:hAnsi="Calibri"/>
      <w:bdr w:val="none" w:sz="0" w:space="0" w:color="auto"/>
      <w:lang w:val="en-AU" w:eastAsia="zh-CN"/>
    </w:rPr>
  </w:style>
  <w:style w:type="paragraph" w:styleId="Heading8">
    <w:name w:val="heading 8"/>
    <w:basedOn w:val="Normal"/>
    <w:next w:val="Normal"/>
    <w:link w:val="Heading8Char"/>
    <w:semiHidden/>
    <w:unhideWhenUsed/>
    <w:qFormat/>
    <w:rsid w:val="00487F4F"/>
    <w:pPr>
      <w:pBdr>
        <w:top w:val="none" w:sz="0" w:space="0" w:color="auto"/>
        <w:left w:val="none" w:sz="0" w:space="0" w:color="auto"/>
        <w:bottom w:val="none" w:sz="0" w:space="0" w:color="auto"/>
        <w:right w:val="none" w:sz="0" w:space="0" w:color="auto"/>
        <w:between w:val="none" w:sz="0" w:space="0" w:color="auto"/>
        <w:bar w:val="none" w:sz="0" w:color="auto"/>
      </w:pBdr>
      <w:spacing w:before="240" w:after="60"/>
      <w:ind w:left="1440" w:hanging="1440"/>
      <w:outlineLvl w:val="7"/>
    </w:pPr>
    <w:rPr>
      <w:rFonts w:ascii="Calibri" w:eastAsia="Times New Roman" w:hAnsi="Calibri"/>
      <w:i/>
      <w:iCs/>
      <w:bdr w:val="none" w:sz="0" w:space="0" w:color="auto"/>
      <w:lang w:val="en-AU" w:eastAsia="zh-CN"/>
    </w:rPr>
  </w:style>
  <w:style w:type="paragraph" w:styleId="Heading9">
    <w:name w:val="heading 9"/>
    <w:basedOn w:val="Normal"/>
    <w:next w:val="Normal"/>
    <w:link w:val="Heading9Char"/>
    <w:semiHidden/>
    <w:unhideWhenUsed/>
    <w:qFormat/>
    <w:rsid w:val="00487F4F"/>
    <w:pPr>
      <w:pBdr>
        <w:top w:val="none" w:sz="0" w:space="0" w:color="auto"/>
        <w:left w:val="none" w:sz="0" w:space="0" w:color="auto"/>
        <w:bottom w:val="none" w:sz="0" w:space="0" w:color="auto"/>
        <w:right w:val="none" w:sz="0" w:space="0" w:color="auto"/>
        <w:between w:val="none" w:sz="0" w:space="0" w:color="auto"/>
        <w:bar w:val="none" w:sz="0" w:color="auto"/>
      </w:pBdr>
      <w:spacing w:before="240" w:after="60"/>
      <w:ind w:left="1584" w:hanging="1584"/>
      <w:outlineLvl w:val="8"/>
    </w:pPr>
    <w:rPr>
      <w:rFonts w:ascii="Cambria" w:eastAsia="Times New Roman" w:hAnsi="Cambria"/>
      <w:sz w:val="22"/>
      <w:szCs w:val="22"/>
      <w:bdr w:val="none" w:sz="0" w:space="0" w:color="auto"/>
      <w:lang w:val="en-AU"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513"/>
        <w:tab w:val="right" w:pos="9026"/>
      </w:tabs>
      <w:spacing w:before="120" w:after="120"/>
      <w:jc w:val="both"/>
    </w:pPr>
    <w:rPr>
      <w:rFonts w:cs="Arial Unicode MS"/>
      <w:color w:val="000000"/>
      <w:u w:color="000000"/>
      <w:lang w:val="en-US"/>
    </w:rPr>
  </w:style>
  <w:style w:type="character" w:styleId="FootnoteReference">
    <w:name w:val="footnote reference"/>
    <w:rPr>
      <w:vertAlign w:val="superscript"/>
      <w:lang w:val="en-US"/>
    </w:rPr>
  </w:style>
  <w:style w:type="paragraph" w:customStyle="1" w:styleId="ConferenceDetails">
    <w:name w:val="Conference Details"/>
    <w:pPr>
      <w:spacing w:before="120" w:after="120"/>
      <w:jc w:val="center"/>
    </w:pPr>
    <w:rPr>
      <w:rFonts w:cs="Arial Unicode MS"/>
      <w:b/>
      <w:bCs/>
      <w:smallCaps/>
      <w:color w:val="000000"/>
      <w:sz w:val="22"/>
      <w:szCs w:val="22"/>
      <w:u w:color="000000"/>
      <w:lang w:val="en-US"/>
    </w:rPr>
  </w:style>
  <w:style w:type="paragraph" w:styleId="Title">
    <w:name w:val="Title"/>
    <w:next w:val="Body"/>
    <w:uiPriority w:val="10"/>
    <w:qFormat/>
    <w:pPr>
      <w:spacing w:before="240" w:after="240"/>
      <w:jc w:val="center"/>
      <w:outlineLvl w:val="0"/>
    </w:pPr>
    <w:rPr>
      <w:rFonts w:cs="Arial Unicode MS"/>
      <w:b/>
      <w:bCs/>
      <w:caps/>
      <w:color w:val="000000"/>
      <w:kern w:val="28"/>
      <w:sz w:val="28"/>
      <w:szCs w:val="28"/>
      <w:u w:color="000000"/>
      <w:lang w:val="en-US"/>
      <w14:textOutline w14:w="0" w14:cap="flat" w14:cmpd="sng" w14:algn="ctr">
        <w14:noFill/>
        <w14:prstDash w14:val="solid"/>
        <w14:bevel/>
      </w14:textOutline>
    </w:rPr>
  </w:style>
  <w:style w:type="paragraph" w:customStyle="1" w:styleId="Body">
    <w:name w:val="Body"/>
    <w:pPr>
      <w:spacing w:before="120" w:after="120"/>
      <w:jc w:val="both"/>
    </w:pPr>
    <w:rPr>
      <w:rFonts w:cs="Arial Unicode MS"/>
      <w:color w:val="000000"/>
      <w:sz w:val="22"/>
      <w:szCs w:val="22"/>
      <w:u w:color="000000"/>
      <w:lang w:val="en-US"/>
      <w14:textOutline w14:w="0" w14:cap="flat" w14:cmpd="sng" w14:algn="ctr">
        <w14:noFill/>
        <w14:prstDash w14:val="solid"/>
        <w14:bevel/>
      </w14:textOutline>
    </w:rPr>
  </w:style>
  <w:style w:type="paragraph" w:customStyle="1" w:styleId="Authors">
    <w:name w:val="Author/s"/>
    <w:pPr>
      <w:keepNext/>
      <w:spacing w:before="120" w:after="120"/>
      <w:jc w:val="center"/>
      <w:outlineLvl w:val="0"/>
    </w:pPr>
    <w:rPr>
      <w:rFonts w:cs="Arial Unicode MS"/>
      <w:b/>
      <w:bCs/>
      <w:color w:val="000000"/>
      <w:kern w:val="32"/>
      <w:sz w:val="24"/>
      <w:szCs w:val="24"/>
      <w:u w:color="000000"/>
      <w:lang w:val="en-US"/>
    </w:rPr>
  </w:style>
  <w:style w:type="paragraph" w:styleId="FootnoteText">
    <w:name w:val="footnote text"/>
    <w:link w:val="FootnoteTextChar"/>
    <w:pPr>
      <w:spacing w:before="120" w:after="120"/>
      <w:jc w:val="both"/>
    </w:pPr>
    <w:rPr>
      <w:rFonts w:eastAsia="Times New Roman"/>
      <w:color w:val="000000"/>
      <w:sz w:val="22"/>
      <w:szCs w:val="22"/>
      <w:u w:color="000000"/>
      <w:lang w:val="en-US"/>
    </w:rPr>
  </w:style>
  <w:style w:type="paragraph" w:customStyle="1" w:styleId="Heading">
    <w:name w:val="Heading"/>
    <w:next w:val="Body"/>
    <w:pPr>
      <w:keepNext/>
      <w:spacing w:before="120" w:after="120"/>
      <w:outlineLvl w:val="0"/>
    </w:pPr>
    <w:rPr>
      <w:rFonts w:cs="Arial Unicode MS"/>
      <w:b/>
      <w:bCs/>
      <w:caps/>
      <w:color w:val="000000"/>
      <w:kern w:val="32"/>
      <w:sz w:val="24"/>
      <w:szCs w:val="24"/>
      <w:u w:color="000000"/>
      <w:lang w:val="fr-FR"/>
      <w14:textOutline w14:w="0" w14:cap="flat" w14:cmpd="sng" w14:algn="ctr">
        <w14:noFill/>
        <w14:prstDash w14:val="solid"/>
        <w14:bevel/>
      </w14:textOutline>
    </w:rPr>
  </w:style>
  <w:style w:type="paragraph" w:customStyle="1" w:styleId="Abstract">
    <w:name w:val="Abstract"/>
    <w:pPr>
      <w:spacing w:before="120" w:after="120"/>
      <w:jc w:val="both"/>
    </w:pPr>
    <w:rPr>
      <w:rFonts w:cs="Arial Unicode MS"/>
      <w:i/>
      <w:iCs/>
      <w:color w:val="000000"/>
      <w:sz w:val="22"/>
      <w:szCs w:val="22"/>
      <w:u w:color="000000"/>
      <w:lang w:val="en-US"/>
    </w:rPr>
  </w:style>
  <w:style w:type="paragraph" w:styleId="Caption">
    <w:name w:val="caption"/>
    <w:next w:val="Body"/>
    <w:qFormat/>
    <w:pPr>
      <w:spacing w:before="120" w:after="120"/>
      <w:jc w:val="both"/>
    </w:pPr>
    <w:rPr>
      <w:rFonts w:cs="Arial Unicode MS"/>
      <w:b/>
      <w:bCs/>
      <w:color w:val="000000"/>
      <w:sz w:val="24"/>
      <w:szCs w:val="24"/>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paragraph" w:customStyle="1" w:styleId="ReferenceList">
    <w:name w:val="Reference List"/>
    <w:pPr>
      <w:spacing w:before="240" w:after="240"/>
      <w:jc w:val="both"/>
    </w:pPr>
    <w:rPr>
      <w:rFonts w:cs="Arial Unicode MS"/>
      <w:color w:val="000000"/>
      <w:sz w:val="22"/>
      <w:szCs w:val="22"/>
      <w:u w:color="000000"/>
      <w:lang w:val="en-US"/>
    </w:rPr>
  </w:style>
  <w:style w:type="paragraph" w:customStyle="1" w:styleId="EmailContact">
    <w:name w:val="Email Contact"/>
    <w:pPr>
      <w:spacing w:before="360"/>
    </w:pPr>
    <w:rPr>
      <w:rFonts w:cs="Arial Unicode MS"/>
      <w:b/>
      <w:bCs/>
      <w:color w:val="000000"/>
      <w:sz w:val="22"/>
      <w:szCs w:val="22"/>
      <w:u w:color="000000"/>
      <w:lang w:val="en-US"/>
    </w:rPr>
  </w:style>
  <w:style w:type="paragraph" w:styleId="Header">
    <w:name w:val="header"/>
    <w:basedOn w:val="Normal"/>
    <w:link w:val="HeaderChar"/>
    <w:uiPriority w:val="99"/>
    <w:unhideWhenUsed/>
    <w:rsid w:val="002A3241"/>
    <w:pPr>
      <w:tabs>
        <w:tab w:val="center" w:pos="4513"/>
        <w:tab w:val="right" w:pos="9026"/>
      </w:tabs>
    </w:pPr>
  </w:style>
  <w:style w:type="character" w:customStyle="1" w:styleId="HeaderChar">
    <w:name w:val="Header Char"/>
    <w:basedOn w:val="DefaultParagraphFont"/>
    <w:link w:val="Header"/>
    <w:uiPriority w:val="99"/>
    <w:rsid w:val="002A3241"/>
    <w:rPr>
      <w:sz w:val="24"/>
      <w:szCs w:val="24"/>
      <w:lang w:val="en-US" w:eastAsia="en-US"/>
    </w:rPr>
  </w:style>
  <w:style w:type="character" w:customStyle="1" w:styleId="Heading1Char">
    <w:name w:val="Heading 1 Char"/>
    <w:basedOn w:val="DefaultParagraphFont"/>
    <w:link w:val="Heading1"/>
    <w:uiPriority w:val="9"/>
    <w:rsid w:val="00487F4F"/>
    <w:rPr>
      <w:rFonts w:ascii="Cambria" w:eastAsia="Times New Roman" w:hAnsi="Cambria"/>
      <w:b/>
      <w:bCs/>
      <w:kern w:val="32"/>
      <w:sz w:val="32"/>
      <w:szCs w:val="32"/>
      <w:bdr w:val="none" w:sz="0" w:space="0" w:color="auto"/>
      <w:lang w:val="en-GB" w:eastAsia="en-GB"/>
    </w:rPr>
  </w:style>
  <w:style w:type="character" w:customStyle="1" w:styleId="Heading5Char">
    <w:name w:val="Heading 5 Char"/>
    <w:basedOn w:val="DefaultParagraphFont"/>
    <w:link w:val="Heading5"/>
    <w:uiPriority w:val="9"/>
    <w:rsid w:val="00487F4F"/>
    <w:rPr>
      <w:rFonts w:ascii="Calibri" w:eastAsia="Times New Roman" w:hAnsi="Calibri"/>
      <w:b/>
      <w:bCs/>
      <w:i/>
      <w:iCs/>
      <w:sz w:val="26"/>
      <w:szCs w:val="26"/>
      <w:bdr w:val="none" w:sz="0" w:space="0" w:color="auto"/>
      <w:lang w:val="en-GB" w:eastAsia="en-GB"/>
    </w:rPr>
  </w:style>
  <w:style w:type="character" w:customStyle="1" w:styleId="Heading6Char">
    <w:name w:val="Heading 6 Char"/>
    <w:basedOn w:val="DefaultParagraphFont"/>
    <w:link w:val="Heading6"/>
    <w:uiPriority w:val="9"/>
    <w:rsid w:val="00487F4F"/>
    <w:rPr>
      <w:rFonts w:ascii="Calibri" w:eastAsia="Times New Roman" w:hAnsi="Calibri"/>
      <w:b/>
      <w:bCs/>
      <w:sz w:val="22"/>
      <w:szCs w:val="22"/>
      <w:bdr w:val="none" w:sz="0" w:space="0" w:color="auto"/>
      <w:lang w:val="en-GB" w:eastAsia="en-GB"/>
    </w:rPr>
  </w:style>
  <w:style w:type="character" w:customStyle="1" w:styleId="Heading7Char">
    <w:name w:val="Heading 7 Char"/>
    <w:basedOn w:val="DefaultParagraphFont"/>
    <w:link w:val="Heading7"/>
    <w:semiHidden/>
    <w:rsid w:val="00487F4F"/>
    <w:rPr>
      <w:rFonts w:ascii="Calibri" w:eastAsia="Times New Roman" w:hAnsi="Calibri"/>
      <w:sz w:val="24"/>
      <w:szCs w:val="24"/>
      <w:bdr w:val="none" w:sz="0" w:space="0" w:color="auto"/>
      <w:lang w:eastAsia="zh-CN"/>
    </w:rPr>
  </w:style>
  <w:style w:type="character" w:customStyle="1" w:styleId="Heading8Char">
    <w:name w:val="Heading 8 Char"/>
    <w:basedOn w:val="DefaultParagraphFont"/>
    <w:link w:val="Heading8"/>
    <w:semiHidden/>
    <w:rsid w:val="00487F4F"/>
    <w:rPr>
      <w:rFonts w:ascii="Calibri" w:eastAsia="Times New Roman" w:hAnsi="Calibri"/>
      <w:i/>
      <w:iCs/>
      <w:sz w:val="24"/>
      <w:szCs w:val="24"/>
      <w:bdr w:val="none" w:sz="0" w:space="0" w:color="auto"/>
      <w:lang w:eastAsia="zh-CN"/>
    </w:rPr>
  </w:style>
  <w:style w:type="character" w:customStyle="1" w:styleId="Heading9Char">
    <w:name w:val="Heading 9 Char"/>
    <w:basedOn w:val="DefaultParagraphFont"/>
    <w:link w:val="Heading9"/>
    <w:semiHidden/>
    <w:rsid w:val="00487F4F"/>
    <w:rPr>
      <w:rFonts w:ascii="Cambria" w:eastAsia="Times New Roman" w:hAnsi="Cambria"/>
      <w:sz w:val="22"/>
      <w:szCs w:val="22"/>
      <w:bdr w:val="none" w:sz="0" w:space="0" w:color="auto"/>
      <w:lang w:eastAsia="zh-CN"/>
    </w:rPr>
  </w:style>
  <w:style w:type="character" w:styleId="PageNumber">
    <w:name w:val="page number"/>
    <w:basedOn w:val="DefaultParagraphFont"/>
    <w:rsid w:val="00487F4F"/>
  </w:style>
  <w:style w:type="table" w:styleId="TableGrid">
    <w:name w:val="Table Grid"/>
    <w:basedOn w:val="TableNormal"/>
    <w:uiPriority w:val="39"/>
    <w:rsid w:val="00487F4F"/>
    <w:pPr>
      <w:pBdr>
        <w:top w:val="none" w:sz="0" w:space="0" w:color="auto"/>
        <w:left w:val="none" w:sz="0" w:space="0" w:color="auto"/>
        <w:bottom w:val="none" w:sz="0" w:space="0" w:color="auto"/>
        <w:right w:val="none" w:sz="0" w:space="0" w:color="auto"/>
        <w:between w:val="none" w:sz="0" w:space="0" w:color="auto"/>
        <w:bar w:val="none" w:sz="0" w:color="auto"/>
      </w:pBdr>
    </w:pPr>
    <w:rPr>
      <w:rFonts w:eastAsia="SimSun"/>
      <w:bdr w:val="none" w:sz="0" w:space="0" w:color="aut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87F4F"/>
    <w:rPr>
      <w:sz w:val="16"/>
      <w:szCs w:val="16"/>
    </w:rPr>
  </w:style>
  <w:style w:type="paragraph" w:styleId="CommentText">
    <w:name w:val="annotation text"/>
    <w:basedOn w:val="Normal"/>
    <w:link w:val="CommentTextChar"/>
    <w:rsid w:val="00487F4F"/>
    <w:pPr>
      <w:pBdr>
        <w:top w:val="none" w:sz="0" w:space="0" w:color="auto"/>
        <w:left w:val="none" w:sz="0" w:space="0" w:color="auto"/>
        <w:bottom w:val="none" w:sz="0" w:space="0" w:color="auto"/>
        <w:right w:val="none" w:sz="0" w:space="0" w:color="auto"/>
        <w:between w:val="none" w:sz="0" w:space="0" w:color="auto"/>
        <w:bar w:val="none" w:sz="0" w:color="auto"/>
      </w:pBdr>
    </w:pPr>
    <w:rPr>
      <w:rFonts w:eastAsia="SimSun"/>
      <w:sz w:val="20"/>
      <w:szCs w:val="20"/>
      <w:bdr w:val="none" w:sz="0" w:space="0" w:color="auto"/>
      <w:lang w:val="en-GB" w:eastAsia="zh-CN"/>
    </w:rPr>
  </w:style>
  <w:style w:type="character" w:customStyle="1" w:styleId="CommentTextChar">
    <w:name w:val="Comment Text Char"/>
    <w:basedOn w:val="DefaultParagraphFont"/>
    <w:link w:val="CommentText"/>
    <w:rsid w:val="00487F4F"/>
    <w:rPr>
      <w:rFonts w:eastAsia="SimSun"/>
      <w:bdr w:val="none" w:sz="0" w:space="0" w:color="auto"/>
      <w:lang w:val="en-GB" w:eastAsia="zh-CN"/>
    </w:rPr>
  </w:style>
  <w:style w:type="paragraph" w:styleId="NormalWeb">
    <w:name w:val="Normal (Web)"/>
    <w:basedOn w:val="Normal"/>
    <w:uiPriority w:val="99"/>
    <w:rsid w:val="00487F4F"/>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pacing w:before="100" w:beforeAutospacing="1" w:after="100" w:afterAutospacing="1" w:line="360" w:lineRule="atLeast"/>
      <w:jc w:val="both"/>
      <w:textAlignment w:val="baseline"/>
    </w:pPr>
    <w:rPr>
      <w:rFonts w:eastAsia="SimSun"/>
      <w:bdr w:val="none" w:sz="0" w:space="0" w:color="auto"/>
      <w:lang w:val="en-GB" w:eastAsia="en-GB"/>
    </w:rPr>
  </w:style>
  <w:style w:type="paragraph" w:customStyle="1" w:styleId="Default">
    <w:name w:val="Default"/>
    <w:rsid w:val="00487F4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tLeast"/>
      <w:jc w:val="both"/>
      <w:textAlignment w:val="baseline"/>
    </w:pPr>
    <w:rPr>
      <w:rFonts w:ascii="Arial" w:eastAsia="SimSun" w:hAnsi="Arial" w:cs="Arial"/>
      <w:color w:val="000000"/>
      <w:sz w:val="24"/>
      <w:szCs w:val="24"/>
      <w:bdr w:val="none" w:sz="0" w:space="0" w:color="auto"/>
      <w:lang w:val="en-US" w:eastAsia="zh-CN"/>
    </w:rPr>
  </w:style>
  <w:style w:type="paragraph" w:customStyle="1" w:styleId="ColorfulList-Accent11">
    <w:name w:val="Colorful List - Accent 11"/>
    <w:basedOn w:val="Normal"/>
    <w:uiPriority w:val="34"/>
    <w:qFormat/>
    <w:rsid w:val="00487F4F"/>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pacing w:line="360" w:lineRule="atLeast"/>
      <w:ind w:left="720"/>
      <w:jc w:val="both"/>
      <w:textAlignment w:val="baseline"/>
    </w:pPr>
    <w:rPr>
      <w:rFonts w:eastAsia="SimSun"/>
      <w:bdr w:val="none" w:sz="0" w:space="0" w:color="auto"/>
      <w:lang w:eastAsia="zh-CN"/>
    </w:rPr>
  </w:style>
  <w:style w:type="character" w:styleId="Strong">
    <w:name w:val="Strong"/>
    <w:uiPriority w:val="22"/>
    <w:qFormat/>
    <w:rsid w:val="00487F4F"/>
    <w:rPr>
      <w:b/>
      <w:bCs/>
    </w:rPr>
  </w:style>
  <w:style w:type="paragraph" w:styleId="EndnoteText">
    <w:name w:val="endnote text"/>
    <w:basedOn w:val="Normal"/>
    <w:link w:val="EndnoteTextChar"/>
    <w:uiPriority w:val="99"/>
    <w:unhideWhenUsed/>
    <w:rsid w:val="00487F4F"/>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pacing w:line="360" w:lineRule="atLeast"/>
      <w:jc w:val="both"/>
      <w:textAlignment w:val="baseline"/>
    </w:pPr>
    <w:rPr>
      <w:rFonts w:eastAsia="SimSun"/>
      <w:sz w:val="20"/>
      <w:szCs w:val="20"/>
      <w:bdr w:val="none" w:sz="0" w:space="0" w:color="auto"/>
      <w:lang w:eastAsia="zh-CN"/>
    </w:rPr>
  </w:style>
  <w:style w:type="character" w:customStyle="1" w:styleId="EndnoteTextChar">
    <w:name w:val="Endnote Text Char"/>
    <w:basedOn w:val="DefaultParagraphFont"/>
    <w:link w:val="EndnoteText"/>
    <w:uiPriority w:val="99"/>
    <w:rsid w:val="00487F4F"/>
    <w:rPr>
      <w:rFonts w:eastAsia="SimSun"/>
      <w:bdr w:val="none" w:sz="0" w:space="0" w:color="auto"/>
      <w:lang w:val="en-US" w:eastAsia="zh-CN"/>
    </w:rPr>
  </w:style>
  <w:style w:type="character" w:customStyle="1" w:styleId="FootnoteTextChar">
    <w:name w:val="Footnote Text Char"/>
    <w:link w:val="FootnoteText"/>
    <w:rsid w:val="00487F4F"/>
    <w:rPr>
      <w:rFonts w:eastAsia="Times New Roman"/>
      <w:color w:val="000000"/>
      <w:sz w:val="22"/>
      <w:szCs w:val="22"/>
      <w:u w:color="000000"/>
      <w:lang w:val="en-US"/>
    </w:rPr>
  </w:style>
  <w:style w:type="character" w:customStyle="1" w:styleId="A2">
    <w:name w:val="A2"/>
    <w:uiPriority w:val="99"/>
    <w:rsid w:val="00487F4F"/>
    <w:rPr>
      <w:rFonts w:cs="ITC Franklin Gothic Book"/>
      <w:color w:val="000000"/>
      <w:sz w:val="18"/>
      <w:szCs w:val="18"/>
    </w:rPr>
  </w:style>
  <w:style w:type="paragraph" w:customStyle="1" w:styleId="Pa1">
    <w:name w:val="Pa1"/>
    <w:basedOn w:val="Default"/>
    <w:next w:val="Default"/>
    <w:uiPriority w:val="99"/>
    <w:rsid w:val="00487F4F"/>
    <w:pPr>
      <w:widowControl/>
      <w:spacing w:line="241" w:lineRule="atLeast"/>
      <w:jc w:val="left"/>
      <w:textAlignment w:val="auto"/>
    </w:pPr>
    <w:rPr>
      <w:rFonts w:ascii="ITC Franklin Gothic Book" w:hAnsi="ITC Franklin Gothic Book" w:cs="Times New Roman"/>
      <w:color w:val="auto"/>
      <w:lang w:val="en-NZ" w:eastAsia="en-NZ"/>
    </w:rPr>
  </w:style>
  <w:style w:type="character" w:customStyle="1" w:styleId="fullpost">
    <w:name w:val="fullpost"/>
    <w:basedOn w:val="DefaultParagraphFont"/>
    <w:rsid w:val="00487F4F"/>
  </w:style>
  <w:style w:type="character" w:customStyle="1" w:styleId="A1">
    <w:name w:val="A1"/>
    <w:uiPriority w:val="99"/>
    <w:rsid w:val="00487F4F"/>
    <w:rPr>
      <w:rFonts w:cs="ITC Franklin Gothic Book"/>
      <w:color w:val="000000"/>
      <w:sz w:val="18"/>
      <w:szCs w:val="18"/>
    </w:rPr>
  </w:style>
  <w:style w:type="paragraph" w:customStyle="1" w:styleId="Pa5">
    <w:name w:val="Pa5"/>
    <w:basedOn w:val="Default"/>
    <w:next w:val="Default"/>
    <w:uiPriority w:val="99"/>
    <w:rsid w:val="00487F4F"/>
    <w:pPr>
      <w:widowControl/>
      <w:spacing w:line="241" w:lineRule="atLeast"/>
      <w:jc w:val="left"/>
      <w:textAlignment w:val="auto"/>
    </w:pPr>
    <w:rPr>
      <w:rFonts w:ascii="ITC Franklin Gothic Book" w:hAnsi="ITC Franklin Gothic Book" w:cs="Times New Roman"/>
      <w:color w:val="auto"/>
      <w:lang w:val="en-NZ" w:eastAsia="en-NZ"/>
    </w:rPr>
  </w:style>
  <w:style w:type="character" w:customStyle="1" w:styleId="A8">
    <w:name w:val="A8"/>
    <w:uiPriority w:val="99"/>
    <w:rsid w:val="00487F4F"/>
    <w:rPr>
      <w:rFonts w:cs="ITC Franklin Gothic Book"/>
      <w:color w:val="000000"/>
      <w:sz w:val="10"/>
      <w:szCs w:val="10"/>
    </w:rPr>
  </w:style>
  <w:style w:type="character" w:customStyle="1" w:styleId="A3">
    <w:name w:val="A3"/>
    <w:uiPriority w:val="99"/>
    <w:rsid w:val="00487F4F"/>
    <w:rPr>
      <w:rFonts w:cs="ITC Franklin Gothic Book"/>
      <w:color w:val="000000"/>
      <w:sz w:val="10"/>
      <w:szCs w:val="10"/>
    </w:rPr>
  </w:style>
  <w:style w:type="paragraph" w:styleId="Date">
    <w:name w:val="Date"/>
    <w:basedOn w:val="Normal"/>
    <w:next w:val="Normal"/>
    <w:link w:val="DateChar"/>
    <w:rsid w:val="00487F4F"/>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pacing w:line="360" w:lineRule="atLeast"/>
      <w:jc w:val="both"/>
      <w:textAlignment w:val="baseline"/>
    </w:pPr>
    <w:rPr>
      <w:rFonts w:eastAsia="SimSun"/>
      <w:bdr w:val="none" w:sz="0" w:space="0" w:color="auto"/>
      <w:lang w:eastAsia="zh-CN"/>
    </w:rPr>
  </w:style>
  <w:style w:type="character" w:customStyle="1" w:styleId="DateChar">
    <w:name w:val="Date Char"/>
    <w:basedOn w:val="DefaultParagraphFont"/>
    <w:link w:val="Date"/>
    <w:rsid w:val="00487F4F"/>
    <w:rPr>
      <w:rFonts w:eastAsia="SimSun"/>
      <w:sz w:val="24"/>
      <w:szCs w:val="24"/>
      <w:bdr w:val="none" w:sz="0" w:space="0" w:color="auto"/>
      <w:lang w:val="en-US" w:eastAsia="zh-CN"/>
    </w:rPr>
  </w:style>
  <w:style w:type="paragraph" w:styleId="BalloonText">
    <w:name w:val="Balloon Text"/>
    <w:basedOn w:val="Normal"/>
    <w:link w:val="BalloonTextChar"/>
    <w:uiPriority w:val="99"/>
    <w:rsid w:val="00487F4F"/>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pacing w:line="360" w:lineRule="atLeast"/>
      <w:jc w:val="both"/>
      <w:textAlignment w:val="baseline"/>
    </w:pPr>
    <w:rPr>
      <w:rFonts w:ascii="Tahoma" w:eastAsia="SimSun" w:hAnsi="Tahoma" w:cs="Tahoma"/>
      <w:sz w:val="16"/>
      <w:szCs w:val="16"/>
      <w:bdr w:val="none" w:sz="0" w:space="0" w:color="auto"/>
      <w:lang w:eastAsia="zh-CN"/>
    </w:rPr>
  </w:style>
  <w:style w:type="character" w:customStyle="1" w:styleId="BalloonTextChar">
    <w:name w:val="Balloon Text Char"/>
    <w:basedOn w:val="DefaultParagraphFont"/>
    <w:link w:val="BalloonText"/>
    <w:uiPriority w:val="99"/>
    <w:rsid w:val="00487F4F"/>
    <w:rPr>
      <w:rFonts w:ascii="Tahoma" w:eastAsia="SimSun" w:hAnsi="Tahoma" w:cs="Tahoma"/>
      <w:sz w:val="16"/>
      <w:szCs w:val="16"/>
      <w:bdr w:val="none" w:sz="0" w:space="0" w:color="auto"/>
      <w:lang w:val="en-US" w:eastAsia="zh-CN"/>
    </w:rPr>
  </w:style>
  <w:style w:type="paragraph" w:styleId="CommentSubject">
    <w:name w:val="annotation subject"/>
    <w:basedOn w:val="CommentText"/>
    <w:next w:val="CommentText"/>
    <w:link w:val="CommentSubjectChar"/>
    <w:rsid w:val="00487F4F"/>
    <w:pPr>
      <w:widowControl w:val="0"/>
      <w:adjustRightInd w:val="0"/>
      <w:spacing w:line="360" w:lineRule="atLeast"/>
      <w:jc w:val="both"/>
      <w:textAlignment w:val="baseline"/>
    </w:pPr>
    <w:rPr>
      <w:b/>
      <w:bCs/>
      <w:lang w:val="en-US"/>
    </w:rPr>
  </w:style>
  <w:style w:type="character" w:customStyle="1" w:styleId="CommentSubjectChar">
    <w:name w:val="Comment Subject Char"/>
    <w:basedOn w:val="CommentTextChar"/>
    <w:link w:val="CommentSubject"/>
    <w:rsid w:val="00487F4F"/>
    <w:rPr>
      <w:rFonts w:eastAsia="SimSun"/>
      <w:b/>
      <w:bCs/>
      <w:bdr w:val="none" w:sz="0" w:space="0" w:color="auto"/>
      <w:lang w:val="en-US" w:eastAsia="zh-CN"/>
    </w:rPr>
  </w:style>
  <w:style w:type="paragraph" w:styleId="DocumentMap">
    <w:name w:val="Document Map"/>
    <w:basedOn w:val="Normal"/>
    <w:link w:val="DocumentMapChar"/>
    <w:uiPriority w:val="99"/>
    <w:unhideWhenUsed/>
    <w:rsid w:val="00487F4F"/>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SimSun" w:hAnsi="Tahoma" w:cs="Tahoma"/>
      <w:sz w:val="16"/>
      <w:szCs w:val="16"/>
      <w:bdr w:val="none" w:sz="0" w:space="0" w:color="auto"/>
      <w:lang w:val="en-GB" w:eastAsia="en-GB"/>
    </w:rPr>
  </w:style>
  <w:style w:type="character" w:customStyle="1" w:styleId="DocumentMapChar">
    <w:name w:val="Document Map Char"/>
    <w:basedOn w:val="DefaultParagraphFont"/>
    <w:link w:val="DocumentMap"/>
    <w:uiPriority w:val="99"/>
    <w:rsid w:val="00487F4F"/>
    <w:rPr>
      <w:rFonts w:ascii="Tahoma" w:eastAsia="SimSun" w:hAnsi="Tahoma" w:cs="Tahoma"/>
      <w:sz w:val="16"/>
      <w:szCs w:val="16"/>
      <w:bdr w:val="none" w:sz="0" w:space="0" w:color="auto"/>
      <w:lang w:val="en-GB" w:eastAsia="en-GB"/>
    </w:rPr>
  </w:style>
  <w:style w:type="character" w:styleId="EndnoteReference">
    <w:name w:val="endnote reference"/>
    <w:uiPriority w:val="99"/>
    <w:unhideWhenUsed/>
    <w:rsid w:val="00487F4F"/>
    <w:rPr>
      <w:vertAlign w:val="superscript"/>
    </w:rPr>
  </w:style>
  <w:style w:type="paragraph" w:styleId="TOC1">
    <w:name w:val="toc 1"/>
    <w:basedOn w:val="Normal"/>
    <w:next w:val="Normal"/>
    <w:autoRedefine/>
    <w:uiPriority w:val="39"/>
    <w:unhideWhenUsed/>
    <w:qFormat/>
    <w:rsid w:val="00487F4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right" w:leader="dot" w:pos="9458"/>
        <w:tab w:val="right" w:leader="dot" w:pos="9498"/>
      </w:tabs>
      <w:spacing w:line="360" w:lineRule="auto"/>
      <w:ind w:left="1134" w:hanging="1134"/>
    </w:pPr>
    <w:rPr>
      <w:rFonts w:eastAsia="SimSun"/>
      <w:b/>
      <w:bCs/>
      <w:noProof/>
      <w:sz w:val="22"/>
      <w:szCs w:val="22"/>
      <w:bdr w:val="none" w:sz="0" w:space="0" w:color="auto"/>
      <w:lang w:val="en-NZ" w:eastAsia="en-GB"/>
    </w:rPr>
  </w:style>
  <w:style w:type="character" w:customStyle="1" w:styleId="Heading2Char">
    <w:name w:val="Heading 2 Char"/>
    <w:link w:val="Heading2"/>
    <w:uiPriority w:val="9"/>
    <w:rsid w:val="00487F4F"/>
    <w:rPr>
      <w:rFonts w:cs="Arial Unicode MS"/>
      <w:b/>
      <w:bCs/>
      <w:color w:val="000000"/>
      <w:sz w:val="24"/>
      <w:szCs w:val="24"/>
      <w:u w:color="000000"/>
      <w:lang w:val="en-US"/>
      <w14:textOutline w14:w="0" w14:cap="flat" w14:cmpd="sng" w14:algn="ctr">
        <w14:noFill/>
        <w14:prstDash w14:val="solid"/>
        <w14:bevel/>
      </w14:textOutline>
    </w:rPr>
  </w:style>
  <w:style w:type="character" w:customStyle="1" w:styleId="Heading3Char">
    <w:name w:val="Heading 3 Char"/>
    <w:link w:val="Heading3"/>
    <w:uiPriority w:val="9"/>
    <w:rsid w:val="00487F4F"/>
    <w:rPr>
      <w:rFonts w:cs="Arial Unicode MS"/>
      <w:b/>
      <w:bCs/>
      <w:color w:val="000000"/>
      <w:sz w:val="22"/>
      <w:szCs w:val="22"/>
      <w:u w:color="000000"/>
      <w:lang w:val="en-US"/>
      <w14:textOutline w14:w="0" w14:cap="flat" w14:cmpd="sng" w14:algn="ctr">
        <w14:noFill/>
        <w14:prstDash w14:val="solid"/>
        <w14:bevel/>
      </w14:textOutline>
    </w:rPr>
  </w:style>
  <w:style w:type="character" w:customStyle="1" w:styleId="Heading4Char">
    <w:name w:val="Heading 4 Char"/>
    <w:link w:val="Heading4"/>
    <w:uiPriority w:val="9"/>
    <w:rsid w:val="00487F4F"/>
    <w:rPr>
      <w:rFonts w:cs="Arial Unicode MS"/>
      <w:b/>
      <w:bCs/>
      <w:color w:val="000000"/>
      <w:u w:color="000000"/>
      <w:lang w:val="en-US"/>
    </w:rPr>
  </w:style>
  <w:style w:type="paragraph" w:customStyle="1" w:styleId="GridTable31">
    <w:name w:val="Grid Table 31"/>
    <w:basedOn w:val="Heading1"/>
    <w:next w:val="Normal"/>
    <w:uiPriority w:val="39"/>
    <w:semiHidden/>
    <w:unhideWhenUsed/>
    <w:qFormat/>
    <w:rsid w:val="00487F4F"/>
    <w:pPr>
      <w:keepLines/>
      <w:spacing w:before="480" w:after="0" w:line="276" w:lineRule="auto"/>
      <w:outlineLvl w:val="9"/>
    </w:pPr>
    <w:rPr>
      <w:color w:val="365F91"/>
      <w:kern w:val="0"/>
      <w:sz w:val="28"/>
      <w:szCs w:val="28"/>
      <w:lang w:val="en-US" w:eastAsia="en-US"/>
    </w:rPr>
  </w:style>
  <w:style w:type="paragraph" w:styleId="TOC2">
    <w:name w:val="toc 2"/>
    <w:basedOn w:val="Normal"/>
    <w:next w:val="Normal"/>
    <w:autoRedefine/>
    <w:uiPriority w:val="39"/>
    <w:unhideWhenUsed/>
    <w:qFormat/>
    <w:rsid w:val="00487F4F"/>
    <w:pPr>
      <w:pBdr>
        <w:top w:val="none" w:sz="0" w:space="0" w:color="auto"/>
        <w:left w:val="none" w:sz="0" w:space="0" w:color="auto"/>
        <w:bottom w:val="none" w:sz="0" w:space="0" w:color="auto"/>
        <w:right w:val="none" w:sz="0" w:space="0" w:color="auto"/>
        <w:between w:val="none" w:sz="0" w:space="0" w:color="auto"/>
        <w:bar w:val="none" w:sz="0" w:color="auto"/>
      </w:pBdr>
      <w:ind w:left="240"/>
    </w:pPr>
    <w:rPr>
      <w:rFonts w:eastAsia="SimSun"/>
      <w:bdr w:val="none" w:sz="0" w:space="0" w:color="auto"/>
      <w:lang w:val="en-GB" w:eastAsia="en-GB"/>
    </w:rPr>
  </w:style>
  <w:style w:type="paragraph" w:styleId="TOC3">
    <w:name w:val="toc 3"/>
    <w:basedOn w:val="Normal"/>
    <w:next w:val="Normal"/>
    <w:autoRedefine/>
    <w:uiPriority w:val="39"/>
    <w:unhideWhenUsed/>
    <w:qFormat/>
    <w:rsid w:val="00487F4F"/>
    <w:pPr>
      <w:pBdr>
        <w:top w:val="none" w:sz="0" w:space="0" w:color="auto"/>
        <w:left w:val="none" w:sz="0" w:space="0" w:color="auto"/>
        <w:bottom w:val="none" w:sz="0" w:space="0" w:color="auto"/>
        <w:right w:val="none" w:sz="0" w:space="0" w:color="auto"/>
        <w:between w:val="none" w:sz="0" w:space="0" w:color="auto"/>
        <w:bar w:val="none" w:sz="0" w:color="auto"/>
      </w:pBdr>
      <w:ind w:left="480"/>
    </w:pPr>
    <w:rPr>
      <w:rFonts w:eastAsia="SimSun"/>
      <w:bdr w:val="none" w:sz="0" w:space="0" w:color="auto"/>
      <w:lang w:val="en-GB" w:eastAsia="en-GB"/>
    </w:rPr>
  </w:style>
  <w:style w:type="paragraph" w:styleId="TOC4">
    <w:name w:val="toc 4"/>
    <w:basedOn w:val="Normal"/>
    <w:next w:val="Normal"/>
    <w:autoRedefine/>
    <w:uiPriority w:val="39"/>
    <w:unhideWhenUsed/>
    <w:rsid w:val="00487F4F"/>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458"/>
      </w:tabs>
      <w:spacing w:before="20" w:after="20"/>
      <w:ind w:left="720"/>
    </w:pPr>
    <w:rPr>
      <w:rFonts w:eastAsia="SimSun"/>
      <w:bdr w:val="none" w:sz="0" w:space="0" w:color="auto"/>
      <w:lang w:val="en-GB" w:eastAsia="en-GB"/>
    </w:rPr>
  </w:style>
  <w:style w:type="paragraph" w:styleId="TOC5">
    <w:name w:val="toc 5"/>
    <w:basedOn w:val="Normal"/>
    <w:next w:val="Normal"/>
    <w:autoRedefine/>
    <w:uiPriority w:val="39"/>
    <w:unhideWhenUsed/>
    <w:rsid w:val="00487F4F"/>
    <w:pPr>
      <w:pBdr>
        <w:top w:val="none" w:sz="0" w:space="0" w:color="auto"/>
        <w:left w:val="none" w:sz="0" w:space="0" w:color="auto"/>
        <w:bottom w:val="none" w:sz="0" w:space="0" w:color="auto"/>
        <w:right w:val="none" w:sz="0" w:space="0" w:color="auto"/>
        <w:between w:val="none" w:sz="0" w:space="0" w:color="auto"/>
        <w:bar w:val="none" w:sz="0" w:color="auto"/>
      </w:pBdr>
      <w:ind w:left="960"/>
    </w:pPr>
    <w:rPr>
      <w:rFonts w:eastAsia="SimSun"/>
      <w:bdr w:val="none" w:sz="0" w:space="0" w:color="auto"/>
      <w:lang w:val="en-GB" w:eastAsia="en-GB"/>
    </w:rPr>
  </w:style>
  <w:style w:type="paragraph" w:styleId="TOC6">
    <w:name w:val="toc 6"/>
    <w:basedOn w:val="Normal"/>
    <w:next w:val="Normal"/>
    <w:autoRedefine/>
    <w:uiPriority w:val="39"/>
    <w:unhideWhenUsed/>
    <w:rsid w:val="00487F4F"/>
    <w:pPr>
      <w:pBdr>
        <w:top w:val="none" w:sz="0" w:space="0" w:color="auto"/>
        <w:left w:val="none" w:sz="0" w:space="0" w:color="auto"/>
        <w:bottom w:val="none" w:sz="0" w:space="0" w:color="auto"/>
        <w:right w:val="none" w:sz="0" w:space="0" w:color="auto"/>
        <w:between w:val="none" w:sz="0" w:space="0" w:color="auto"/>
        <w:bar w:val="none" w:sz="0" w:color="auto"/>
      </w:pBdr>
      <w:ind w:left="1200"/>
    </w:pPr>
    <w:rPr>
      <w:rFonts w:eastAsia="SimSun"/>
      <w:bdr w:val="none" w:sz="0" w:space="0" w:color="auto"/>
      <w:lang w:val="en-GB" w:eastAsia="en-GB"/>
    </w:rPr>
  </w:style>
  <w:style w:type="paragraph" w:styleId="TOC7">
    <w:name w:val="toc 7"/>
    <w:basedOn w:val="Normal"/>
    <w:next w:val="Normal"/>
    <w:autoRedefine/>
    <w:uiPriority w:val="39"/>
    <w:unhideWhenUsed/>
    <w:rsid w:val="00487F4F"/>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320"/>
    </w:pPr>
    <w:rPr>
      <w:rFonts w:ascii="Calibri" w:eastAsia="Times New Roman" w:hAnsi="Calibri"/>
      <w:sz w:val="22"/>
      <w:szCs w:val="22"/>
      <w:bdr w:val="none" w:sz="0" w:space="0" w:color="auto"/>
      <w:lang w:val="en-NZ" w:eastAsia="en-NZ"/>
    </w:rPr>
  </w:style>
  <w:style w:type="paragraph" w:styleId="TOC8">
    <w:name w:val="toc 8"/>
    <w:basedOn w:val="Normal"/>
    <w:next w:val="Normal"/>
    <w:autoRedefine/>
    <w:uiPriority w:val="39"/>
    <w:unhideWhenUsed/>
    <w:rsid w:val="00487F4F"/>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540"/>
    </w:pPr>
    <w:rPr>
      <w:rFonts w:ascii="Calibri" w:eastAsia="Times New Roman" w:hAnsi="Calibri"/>
      <w:sz w:val="22"/>
      <w:szCs w:val="22"/>
      <w:bdr w:val="none" w:sz="0" w:space="0" w:color="auto"/>
      <w:lang w:val="en-NZ" w:eastAsia="en-NZ"/>
    </w:rPr>
  </w:style>
  <w:style w:type="paragraph" w:styleId="TOC9">
    <w:name w:val="toc 9"/>
    <w:basedOn w:val="Normal"/>
    <w:next w:val="Normal"/>
    <w:autoRedefine/>
    <w:uiPriority w:val="39"/>
    <w:unhideWhenUsed/>
    <w:rsid w:val="00487F4F"/>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760"/>
    </w:pPr>
    <w:rPr>
      <w:rFonts w:ascii="Calibri" w:eastAsia="Times New Roman" w:hAnsi="Calibri"/>
      <w:sz w:val="22"/>
      <w:szCs w:val="22"/>
      <w:bdr w:val="none" w:sz="0" w:space="0" w:color="auto"/>
      <w:lang w:val="en-NZ" w:eastAsia="en-NZ"/>
    </w:rPr>
  </w:style>
  <w:style w:type="paragraph" w:styleId="BodyTextIndent">
    <w:name w:val="Body Text Indent"/>
    <w:basedOn w:val="Normal"/>
    <w:link w:val="BodyTextIndentChar"/>
    <w:rsid w:val="00487F4F"/>
    <w:pPr>
      <w:pBdr>
        <w:top w:val="none" w:sz="0" w:space="0" w:color="auto"/>
        <w:left w:val="none" w:sz="0" w:space="0" w:color="auto"/>
        <w:bottom w:val="none" w:sz="0" w:space="0" w:color="auto"/>
        <w:right w:val="none" w:sz="0" w:space="0" w:color="auto"/>
        <w:between w:val="none" w:sz="0" w:space="0" w:color="auto"/>
        <w:bar w:val="none" w:sz="0" w:color="auto"/>
      </w:pBdr>
      <w:ind w:left="780" w:hanging="360"/>
      <w:jc w:val="center"/>
    </w:pPr>
    <w:rPr>
      <w:rFonts w:eastAsia="Times New Roman"/>
      <w:b/>
      <w:bCs/>
      <w:sz w:val="22"/>
      <w:bdr w:val="none" w:sz="0" w:space="0" w:color="auto"/>
      <w:lang w:val="en-GB" w:eastAsia="en-GB" w:bidi="ar-LY"/>
    </w:rPr>
  </w:style>
  <w:style w:type="character" w:customStyle="1" w:styleId="BodyTextIndentChar">
    <w:name w:val="Body Text Indent Char"/>
    <w:basedOn w:val="DefaultParagraphFont"/>
    <w:link w:val="BodyTextIndent"/>
    <w:rsid w:val="00487F4F"/>
    <w:rPr>
      <w:rFonts w:eastAsia="Times New Roman"/>
      <w:b/>
      <w:bCs/>
      <w:sz w:val="22"/>
      <w:szCs w:val="24"/>
      <w:bdr w:val="none" w:sz="0" w:space="0" w:color="auto"/>
      <w:lang w:val="en-GB" w:eastAsia="en-GB" w:bidi="ar-LY"/>
    </w:rPr>
  </w:style>
  <w:style w:type="paragraph" w:styleId="TableofFigures">
    <w:name w:val="table of figures"/>
    <w:basedOn w:val="Normal"/>
    <w:next w:val="Normal"/>
    <w:uiPriority w:val="99"/>
    <w:unhideWhenUsed/>
    <w:rsid w:val="00487F4F"/>
    <w:pPr>
      <w:pBdr>
        <w:top w:val="none" w:sz="0" w:space="0" w:color="auto"/>
        <w:left w:val="none" w:sz="0" w:space="0" w:color="auto"/>
        <w:bottom w:val="none" w:sz="0" w:space="0" w:color="auto"/>
        <w:right w:val="none" w:sz="0" w:space="0" w:color="auto"/>
        <w:between w:val="none" w:sz="0" w:space="0" w:color="auto"/>
        <w:bar w:val="none" w:sz="0" w:color="auto"/>
      </w:pBdr>
    </w:pPr>
    <w:rPr>
      <w:rFonts w:eastAsia="SimSun"/>
      <w:bdr w:val="none" w:sz="0" w:space="0" w:color="auto"/>
      <w:lang w:val="en-GB" w:eastAsia="en-GB"/>
    </w:rPr>
  </w:style>
  <w:style w:type="character" w:customStyle="1" w:styleId="FooterChar">
    <w:name w:val="Footer Char"/>
    <w:link w:val="Footer"/>
    <w:uiPriority w:val="99"/>
    <w:rsid w:val="00487F4F"/>
    <w:rPr>
      <w:rFonts w:cs="Arial Unicode MS"/>
      <w:color w:val="000000"/>
      <w:u w:color="000000"/>
      <w:lang w:val="en-US"/>
    </w:rPr>
  </w:style>
  <w:style w:type="paragraph" w:customStyle="1" w:styleId="inline">
    <w:name w:val="inline"/>
    <w:basedOn w:val="Normal"/>
    <w:rsid w:val="00487F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NZ" w:eastAsia="en-NZ"/>
    </w:rPr>
  </w:style>
  <w:style w:type="character" w:customStyle="1" w:styleId="medium-font1">
    <w:name w:val="medium-font1"/>
    <w:rsid w:val="00487F4F"/>
    <w:rPr>
      <w:sz w:val="19"/>
      <w:szCs w:val="19"/>
    </w:rPr>
  </w:style>
  <w:style w:type="character" w:customStyle="1" w:styleId="updated-short-citation">
    <w:name w:val="updated-short-citation"/>
    <w:basedOn w:val="DefaultParagraphFont"/>
    <w:rsid w:val="00487F4F"/>
  </w:style>
  <w:style w:type="table" w:customStyle="1" w:styleId="TableGrid1">
    <w:name w:val="Table Grid1"/>
    <w:basedOn w:val="TableNormal"/>
    <w:next w:val="TableGrid"/>
    <w:rsid w:val="00487F4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7F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Calibri" w:eastAsia="Calibri" w:hAnsi="Calibri"/>
      <w:sz w:val="22"/>
      <w:szCs w:val="22"/>
      <w:bdr w:val="none" w:sz="0" w:space="0" w:color="auto"/>
      <w:lang w:val="en-AU"/>
    </w:rPr>
  </w:style>
  <w:style w:type="numbering" w:customStyle="1" w:styleId="NoList1">
    <w:name w:val="No List1"/>
    <w:next w:val="NoList"/>
    <w:semiHidden/>
    <w:unhideWhenUsed/>
    <w:rsid w:val="00487F4F"/>
  </w:style>
  <w:style w:type="character" w:styleId="Emphasis">
    <w:name w:val="Emphasis"/>
    <w:uiPriority w:val="20"/>
    <w:qFormat/>
    <w:rsid w:val="00487F4F"/>
    <w:rPr>
      <w:i/>
      <w:iCs/>
    </w:rPr>
  </w:style>
  <w:style w:type="table" w:customStyle="1" w:styleId="TableGrid2">
    <w:name w:val="Table Grid2"/>
    <w:basedOn w:val="TableNormal"/>
    <w:next w:val="TableGrid"/>
    <w:uiPriority w:val="59"/>
    <w:rsid w:val="00487F4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rsid w:val="00487F4F"/>
    <w:rPr>
      <w:rFonts w:ascii="Arial" w:hAnsi="Arial" w:cs="Arial" w:hint="default"/>
      <w:sz w:val="20"/>
      <w:szCs w:val="20"/>
    </w:rPr>
  </w:style>
  <w:style w:type="paragraph" w:customStyle="1" w:styleId="Pa7">
    <w:name w:val="Pa7"/>
    <w:basedOn w:val="Default"/>
    <w:next w:val="Default"/>
    <w:uiPriority w:val="99"/>
    <w:rsid w:val="00487F4F"/>
    <w:pPr>
      <w:widowControl/>
      <w:spacing w:line="201" w:lineRule="atLeast"/>
      <w:jc w:val="left"/>
      <w:textAlignment w:val="auto"/>
    </w:pPr>
    <w:rPr>
      <w:rFonts w:ascii="Aaux Next Regular" w:eastAsia="Calibri" w:hAnsi="Aaux Next Regular" w:cs="Times New Roman"/>
      <w:color w:val="auto"/>
      <w:lang w:val="en-NZ" w:eastAsia="en-NZ"/>
    </w:rPr>
  </w:style>
  <w:style w:type="paragraph" w:styleId="TOCHeading">
    <w:name w:val="TOC Heading"/>
    <w:basedOn w:val="Heading1"/>
    <w:next w:val="Normal"/>
    <w:uiPriority w:val="39"/>
    <w:semiHidden/>
    <w:unhideWhenUsed/>
    <w:qFormat/>
    <w:rsid w:val="00487F4F"/>
    <w:pPr>
      <w:keepLines/>
      <w:spacing w:before="480" w:after="0" w:line="276" w:lineRule="auto"/>
      <w:outlineLvl w:val="9"/>
    </w:pPr>
    <w:rPr>
      <w:color w:val="365F91"/>
      <w:kern w:val="0"/>
      <w:sz w:val="28"/>
      <w:szCs w:val="28"/>
      <w:lang w:val="en-US" w:eastAsia="en-US"/>
    </w:rPr>
  </w:style>
  <w:style w:type="character" w:customStyle="1" w:styleId="apple-converted-space">
    <w:name w:val="apple-converted-space"/>
    <w:rsid w:val="00487F4F"/>
  </w:style>
  <w:style w:type="numbering" w:customStyle="1" w:styleId="NoList11">
    <w:name w:val="No List11"/>
    <w:next w:val="NoList"/>
    <w:uiPriority w:val="99"/>
    <w:semiHidden/>
    <w:unhideWhenUsed/>
    <w:rsid w:val="00487F4F"/>
  </w:style>
  <w:style w:type="table" w:customStyle="1" w:styleId="TableGrid11">
    <w:name w:val="Table Grid11"/>
    <w:basedOn w:val="TableNormal"/>
    <w:next w:val="TableGrid"/>
    <w:rsid w:val="00487F4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87F4F"/>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Calibri"/>
      <w:bdr w:val="none" w:sz="0" w:space="0" w:color="auto"/>
      <w:lang w:val="en-AU" w:eastAsia="zh-CN"/>
    </w:rPr>
  </w:style>
  <w:style w:type="character" w:customStyle="1" w:styleId="BodyTextChar">
    <w:name w:val="Body Text Char"/>
    <w:basedOn w:val="DefaultParagraphFont"/>
    <w:link w:val="BodyText"/>
    <w:rsid w:val="00487F4F"/>
    <w:rPr>
      <w:rFonts w:eastAsia="Calibri"/>
      <w:sz w:val="24"/>
      <w:szCs w:val="24"/>
      <w:bdr w:val="none" w:sz="0" w:space="0" w:color="auto"/>
      <w:lang w:eastAsia="zh-CN"/>
    </w:rPr>
  </w:style>
  <w:style w:type="paragraph" w:customStyle="1" w:styleId="ListParagraph1">
    <w:name w:val="List Paragraph1"/>
    <w:basedOn w:val="Normal"/>
    <w:next w:val="ListParagraph"/>
    <w:uiPriority w:val="34"/>
    <w:qFormat/>
    <w:rsid w:val="00487F4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AU"/>
    </w:rPr>
  </w:style>
  <w:style w:type="paragraph" w:customStyle="1" w:styleId="BalloonText1">
    <w:name w:val="Balloon Text1"/>
    <w:basedOn w:val="Normal"/>
    <w:next w:val="BalloonText"/>
    <w:uiPriority w:val="99"/>
    <w:semiHidden/>
    <w:unhideWhenUsed/>
    <w:rsid w:val="00487F4F"/>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Calibri" w:hAnsi="Tahoma" w:cs="Tahoma"/>
      <w:sz w:val="16"/>
      <w:szCs w:val="16"/>
      <w:bdr w:val="none" w:sz="0" w:space="0" w:color="auto"/>
      <w:lang w:val="en-AU"/>
    </w:rPr>
  </w:style>
  <w:style w:type="character" w:customStyle="1" w:styleId="BalloonTextChar1">
    <w:name w:val="Balloon Text Char1"/>
    <w:uiPriority w:val="99"/>
    <w:semiHidden/>
    <w:rsid w:val="00487F4F"/>
    <w:rPr>
      <w:rFonts w:ascii="Segoe UI" w:hAnsi="Segoe UI" w:cs="Segoe UI"/>
      <w:sz w:val="18"/>
      <w:szCs w:val="18"/>
    </w:rPr>
  </w:style>
  <w:style w:type="paragraph" w:customStyle="1" w:styleId="graf">
    <w:name w:val="graf"/>
    <w:basedOn w:val="Normal"/>
    <w:rsid w:val="00487F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AU" w:eastAsia="en-AU"/>
    </w:rPr>
  </w:style>
  <w:style w:type="paragraph" w:styleId="Revision">
    <w:name w:val="Revision"/>
    <w:hidden/>
    <w:uiPriority w:val="99"/>
    <w:rsid w:val="00487F4F"/>
    <w:pPr>
      <w:pBdr>
        <w:top w:val="none" w:sz="0" w:space="0" w:color="auto"/>
        <w:left w:val="none" w:sz="0" w:space="0" w:color="auto"/>
        <w:bottom w:val="none" w:sz="0" w:space="0" w:color="auto"/>
        <w:right w:val="none" w:sz="0" w:space="0" w:color="auto"/>
        <w:between w:val="none" w:sz="0" w:space="0" w:color="auto"/>
        <w:bar w:val="none" w:sz="0" w:color="auto"/>
      </w:pBdr>
    </w:pPr>
    <w:rPr>
      <w:rFonts w:eastAsia="Calibri"/>
      <w:sz w:val="24"/>
      <w:szCs w:val="24"/>
      <w:bdr w:val="none" w:sz="0" w:space="0" w:color="auto"/>
      <w:lang w:eastAsia="zh-CN"/>
    </w:rPr>
  </w:style>
  <w:style w:type="numbering" w:customStyle="1" w:styleId="NoList2">
    <w:name w:val="No List2"/>
    <w:next w:val="NoList"/>
    <w:uiPriority w:val="99"/>
    <w:semiHidden/>
    <w:unhideWhenUsed/>
    <w:rsid w:val="00487F4F"/>
  </w:style>
  <w:style w:type="table" w:customStyle="1" w:styleId="TableGrid3">
    <w:name w:val="Table Grid3"/>
    <w:basedOn w:val="TableNormal"/>
    <w:next w:val="TableGrid"/>
    <w:uiPriority w:val="39"/>
    <w:rsid w:val="00487F4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30F96"/>
    <w:rPr>
      <w:color w:val="605E5C"/>
      <w:shd w:val="clear" w:color="auto" w:fill="E1DFDD"/>
    </w:rPr>
  </w:style>
  <w:style w:type="paragraph" w:styleId="NoSpacing">
    <w:name w:val="No Spacing"/>
    <w:uiPriority w:val="1"/>
    <w:qFormat/>
    <w:rsid w:val="008820E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GB" w:eastAsia="en-US"/>
    </w:rPr>
  </w:style>
  <w:style w:type="character" w:customStyle="1" w:styleId="mtxt">
    <w:name w:val="mtxt"/>
    <w:basedOn w:val="DefaultParagraphFont"/>
    <w:rsid w:val="008820ED"/>
  </w:style>
  <w:style w:type="character" w:customStyle="1" w:styleId="fontstyle01">
    <w:name w:val="fontstyle01"/>
    <w:basedOn w:val="DefaultParagraphFont"/>
    <w:rsid w:val="00406C06"/>
    <w:rPr>
      <w:rFonts w:ascii="Verdana" w:hAnsi="Verdana" w:hint="default"/>
      <w:b w:val="0"/>
      <w:bCs w:val="0"/>
      <w:i w:val="0"/>
      <w:iCs w:val="0"/>
      <w:color w:val="000000"/>
      <w:sz w:val="20"/>
      <w:szCs w:val="20"/>
    </w:rPr>
  </w:style>
  <w:style w:type="character" w:customStyle="1" w:styleId="fontstyle21">
    <w:name w:val="fontstyle21"/>
    <w:basedOn w:val="DefaultParagraphFont"/>
    <w:rsid w:val="00406C06"/>
    <w:rPr>
      <w:rFonts w:ascii="Verdana" w:hAnsi="Verdana"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youtube.com/watch?v=2l3agcxgLpQ"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1B569F2CEB2E4F9B1324ED163AD630" ma:contentTypeVersion="13" ma:contentTypeDescription="Create a new document." ma:contentTypeScope="" ma:versionID="aca29b624c0507e62f8cc3570d3fb43f">
  <xsd:schema xmlns:xsd="http://www.w3.org/2001/XMLSchema" xmlns:xs="http://www.w3.org/2001/XMLSchema" xmlns:p="http://schemas.microsoft.com/office/2006/metadata/properties" xmlns:ns3="bb208226-047a-4e2c-86d1-c94ec71fb0a7" xmlns:ns4="e81d2d56-dd37-45dd-b7ce-3f4ee27084b4" targetNamespace="http://schemas.microsoft.com/office/2006/metadata/properties" ma:root="true" ma:fieldsID="7e0db5d11fb4e836e9873c91905f8af0" ns3:_="" ns4:_="">
    <xsd:import namespace="bb208226-047a-4e2c-86d1-c94ec71fb0a7"/>
    <xsd:import namespace="e81d2d56-dd37-45dd-b7ce-3f4ee27084b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08226-047a-4e2c-86d1-c94ec71fb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1d2d56-dd37-45dd-b7ce-3f4ee27084b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82A9BE-16B8-44EA-B967-F3CC60192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08226-047a-4e2c-86d1-c94ec71fb0a7"/>
    <ds:schemaRef ds:uri="e81d2d56-dd37-45dd-b7ce-3f4ee2708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A59D4E-E019-4F4B-B2B7-6CF1C8E9D3E5}">
  <ds:schemaRefs>
    <ds:schemaRef ds:uri="bb208226-047a-4e2c-86d1-c94ec71fb0a7"/>
    <ds:schemaRef ds:uri="http://schemas.microsoft.com/office/2006/metadata/properties"/>
    <ds:schemaRef ds:uri="http://purl.org/dc/elements/1.1/"/>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e81d2d56-dd37-45dd-b7ce-3f4ee27084b4"/>
    <ds:schemaRef ds:uri="http://purl.org/dc/terms/"/>
  </ds:schemaRefs>
</ds:datastoreItem>
</file>

<file path=customXml/itemProps3.xml><?xml version="1.0" encoding="utf-8"?>
<ds:datastoreItem xmlns:ds="http://schemas.openxmlformats.org/officeDocument/2006/customXml" ds:itemID="{2079BCC6-0C4B-41FA-9504-C8BB22BA3F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8281</Words>
  <Characters>47202</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Dulani Halvitigala</dc:creator>
  <cp:lastModifiedBy>Catherine Jackson</cp:lastModifiedBy>
  <cp:revision>7</cp:revision>
  <dcterms:created xsi:type="dcterms:W3CDTF">2022-08-03T10:35:00Z</dcterms:created>
  <dcterms:modified xsi:type="dcterms:W3CDTF">2022-08-03T10:50:00Z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0x010100251B569F2CEB2E4F9B1324ED163AD630</vt:lpwstr>
  </property>
  <property fmtid="{D5CDD505-2E9C-101B-9397-08002B2CF9AE}" pid="3" name="MSIP_Label_8c3d088b-6243-4963-a2e2-8b321ab7f8fc_Enabled">
    <vt:lpwstr>true</vt:lpwstr>
  </property>
  <property fmtid="{D5CDD505-2E9C-101B-9397-08002B2CF9AE}" pid="4" name="MSIP_Label_8c3d088b-6243-4963-a2e2-8b321ab7f8fc_SetDate">
    <vt:lpwstr>2022-07-30T04:00:40Z</vt:lpwstr>
  </property>
  <property fmtid="{D5CDD505-2E9C-101B-9397-08002B2CF9AE}" pid="5" name="MSIP_Label_8c3d088b-6243-4963-a2e2-8b321ab7f8fc_Method">
    <vt:lpwstr>Standard</vt:lpwstr>
  </property>
  <property fmtid="{D5CDD505-2E9C-101B-9397-08002B2CF9AE}" pid="6" name="MSIP_Label_8c3d088b-6243-4963-a2e2-8b321ab7f8fc_Name">
    <vt:lpwstr>Trusted</vt:lpwstr>
  </property>
  <property fmtid="{D5CDD505-2E9C-101B-9397-08002B2CF9AE}" pid="7" name="MSIP_Label_8c3d088b-6243-4963-a2e2-8b321ab7f8fc_SiteId">
    <vt:lpwstr>d1323671-cdbe-4417-b4d4-bdb24b51316b</vt:lpwstr>
  </property>
  <property fmtid="{D5CDD505-2E9C-101B-9397-08002B2CF9AE}" pid="8" name="MSIP_Label_8c3d088b-6243-4963-a2e2-8b321ab7f8fc_ActionId">
    <vt:lpwstr>3c53875f-7dee-48f7-8e3b-9b551e1022ad</vt:lpwstr>
  </property>
  <property fmtid="{D5CDD505-2E9C-101B-9397-08002B2CF9AE}" pid="9" name="MSIP_Label_8c3d088b-6243-4963-a2e2-8b321ab7f8fc_ContentBits">
    <vt:lpwstr>1</vt:lpwstr>
  </property>
</Properties>
</file>