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1F42B" w14:textId="38FCE1EE" w:rsidR="009556E7" w:rsidRPr="00287E10" w:rsidRDefault="00240709" w:rsidP="001F783C">
      <w:pPr>
        <w:pStyle w:val="Heading1"/>
        <w:spacing w:before="0" w:line="360" w:lineRule="auto"/>
        <w:ind w:hanging="284"/>
        <w:rPr>
          <w:rFonts w:asciiTheme="minorHAnsi" w:hAnsiTheme="minorHAnsi" w:cstheme="minorHAnsi"/>
        </w:rPr>
      </w:pPr>
      <w:bookmarkStart w:id="0" w:name="_Hlk52144261"/>
      <w:bookmarkEnd w:id="0"/>
      <w:r w:rsidRPr="00287E10">
        <w:rPr>
          <w:rFonts w:asciiTheme="minorHAnsi" w:hAnsiTheme="minorHAnsi" w:cstheme="minorHAnsi"/>
          <w:noProof/>
          <w:lang w:eastAsia="en-GB"/>
        </w:rPr>
        <w:drawing>
          <wp:inline distT="0" distB="0" distL="0" distR="0" wp14:anchorId="0992AB4B" wp14:editId="6BC3B744">
            <wp:extent cx="4011295" cy="7804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1295" cy="780415"/>
                    </a:xfrm>
                    <a:prstGeom prst="rect">
                      <a:avLst/>
                    </a:prstGeom>
                    <a:noFill/>
                  </pic:spPr>
                </pic:pic>
              </a:graphicData>
            </a:graphic>
          </wp:inline>
        </w:drawing>
      </w:r>
    </w:p>
    <w:p w14:paraId="58744246" w14:textId="4BEA7399" w:rsidR="00240709" w:rsidRDefault="00240709" w:rsidP="00240709">
      <w:pPr>
        <w:rPr>
          <w:rFonts w:asciiTheme="minorHAnsi" w:hAnsiTheme="minorHAnsi" w:cstheme="minorHAnsi"/>
          <w:lang w:eastAsia="en-US"/>
        </w:rPr>
      </w:pPr>
    </w:p>
    <w:p w14:paraId="7C617FF5" w14:textId="4D89E42B" w:rsidR="00482D69" w:rsidRDefault="00482D69" w:rsidP="00240709">
      <w:pPr>
        <w:rPr>
          <w:rFonts w:asciiTheme="minorHAnsi" w:hAnsiTheme="minorHAnsi" w:cstheme="minorHAnsi"/>
          <w:lang w:eastAsia="en-US"/>
        </w:rPr>
      </w:pPr>
    </w:p>
    <w:p w14:paraId="3E0336B0" w14:textId="1C55DB73" w:rsidR="00482D69" w:rsidRDefault="00482D69" w:rsidP="00240709">
      <w:pPr>
        <w:rPr>
          <w:rFonts w:asciiTheme="minorHAnsi" w:hAnsiTheme="minorHAnsi" w:cstheme="minorHAnsi"/>
          <w:lang w:eastAsia="en-US"/>
        </w:rPr>
      </w:pPr>
    </w:p>
    <w:p w14:paraId="24D098A1" w14:textId="717C27C2" w:rsidR="00482D69" w:rsidRDefault="00482D69" w:rsidP="00240709">
      <w:pPr>
        <w:rPr>
          <w:rFonts w:asciiTheme="minorHAnsi" w:hAnsiTheme="minorHAnsi" w:cstheme="minorHAnsi"/>
          <w:lang w:eastAsia="en-US"/>
        </w:rPr>
      </w:pPr>
    </w:p>
    <w:p w14:paraId="430E446C" w14:textId="1563C252" w:rsidR="00482D69" w:rsidRDefault="00482D69" w:rsidP="00240709">
      <w:pPr>
        <w:rPr>
          <w:rFonts w:asciiTheme="minorHAnsi" w:hAnsiTheme="minorHAnsi" w:cstheme="minorHAnsi"/>
          <w:lang w:eastAsia="en-US"/>
        </w:rPr>
      </w:pPr>
    </w:p>
    <w:p w14:paraId="2F228A86" w14:textId="5B28FC23" w:rsidR="00482D69" w:rsidRDefault="00482D69" w:rsidP="00240709">
      <w:pPr>
        <w:rPr>
          <w:rFonts w:asciiTheme="minorHAnsi" w:hAnsiTheme="minorHAnsi" w:cstheme="minorHAnsi"/>
          <w:lang w:eastAsia="en-US"/>
        </w:rPr>
      </w:pPr>
    </w:p>
    <w:p w14:paraId="4E5DB32A" w14:textId="7BAF3409" w:rsidR="00482D69" w:rsidRDefault="00482D69" w:rsidP="00240709">
      <w:pPr>
        <w:rPr>
          <w:rFonts w:asciiTheme="minorHAnsi" w:hAnsiTheme="minorHAnsi" w:cstheme="minorHAnsi"/>
          <w:lang w:eastAsia="en-US"/>
        </w:rPr>
      </w:pPr>
    </w:p>
    <w:p w14:paraId="0B6C3F0D" w14:textId="52BB79EA" w:rsidR="00482D69" w:rsidRDefault="00482D69" w:rsidP="00240709">
      <w:pPr>
        <w:rPr>
          <w:rFonts w:asciiTheme="minorHAnsi" w:hAnsiTheme="minorHAnsi" w:cstheme="minorHAnsi"/>
          <w:lang w:eastAsia="en-US"/>
        </w:rPr>
      </w:pPr>
    </w:p>
    <w:p w14:paraId="7D40D594" w14:textId="3B4E8B39" w:rsidR="00482D69" w:rsidRDefault="00482D69" w:rsidP="00240709">
      <w:pPr>
        <w:rPr>
          <w:rFonts w:asciiTheme="minorHAnsi" w:hAnsiTheme="minorHAnsi" w:cstheme="minorHAnsi"/>
          <w:lang w:eastAsia="en-US"/>
        </w:rPr>
      </w:pPr>
    </w:p>
    <w:p w14:paraId="4F3FD84E" w14:textId="5F5A16EE" w:rsidR="00482D69" w:rsidRDefault="00482D69" w:rsidP="00240709">
      <w:pPr>
        <w:rPr>
          <w:rFonts w:asciiTheme="minorHAnsi" w:hAnsiTheme="minorHAnsi" w:cstheme="minorHAnsi"/>
          <w:lang w:eastAsia="en-US"/>
        </w:rPr>
      </w:pPr>
    </w:p>
    <w:p w14:paraId="1E2E8633" w14:textId="77777777" w:rsidR="00482D69" w:rsidRDefault="00482D69" w:rsidP="00240709">
      <w:pPr>
        <w:rPr>
          <w:rFonts w:asciiTheme="minorHAnsi" w:hAnsiTheme="minorHAnsi" w:cstheme="minorHAnsi"/>
          <w:lang w:eastAsia="en-US"/>
        </w:rPr>
      </w:pPr>
    </w:p>
    <w:p w14:paraId="401146D9" w14:textId="77777777" w:rsidR="00482D69" w:rsidRPr="00287E10" w:rsidRDefault="00482D69" w:rsidP="00240709">
      <w:pPr>
        <w:rPr>
          <w:rFonts w:asciiTheme="minorHAnsi" w:hAnsiTheme="minorHAnsi" w:cstheme="minorHAnsi"/>
          <w:lang w:eastAsia="en-US"/>
        </w:rPr>
      </w:pPr>
    </w:p>
    <w:p w14:paraId="41B6F76D" w14:textId="56956C72" w:rsidR="00792F56" w:rsidRPr="00482D69" w:rsidRDefault="00063715" w:rsidP="00063715">
      <w:pPr>
        <w:pStyle w:val="Heading1"/>
        <w:spacing w:before="0"/>
        <w:jc w:val="center"/>
        <w:rPr>
          <w:rFonts w:asciiTheme="minorHAnsi" w:hAnsiTheme="minorHAnsi" w:cstheme="minorHAnsi"/>
          <w:b/>
          <w:bCs/>
        </w:rPr>
      </w:pPr>
      <w:r>
        <w:rPr>
          <w:rFonts w:asciiTheme="minorHAnsi" w:hAnsiTheme="minorHAnsi" w:cstheme="minorHAnsi"/>
          <w:b/>
          <w:bCs/>
        </w:rPr>
        <w:t>REPAIR Case Study Cit</w:t>
      </w:r>
      <w:r w:rsidR="00FC5E8C">
        <w:rPr>
          <w:rFonts w:asciiTheme="minorHAnsi" w:hAnsiTheme="minorHAnsi" w:cstheme="minorHAnsi"/>
          <w:b/>
          <w:bCs/>
        </w:rPr>
        <w:t>ies: selection rationale and context</w:t>
      </w:r>
    </w:p>
    <w:p w14:paraId="442AB443" w14:textId="77777777" w:rsidR="00482D69" w:rsidRPr="00482D69" w:rsidRDefault="00482D69" w:rsidP="00903C9F">
      <w:pPr>
        <w:rPr>
          <w:rFonts w:asciiTheme="minorHAnsi" w:hAnsiTheme="minorHAnsi" w:cstheme="minorHAnsi"/>
          <w:b/>
          <w:bCs/>
          <w:lang w:eastAsia="en-US"/>
        </w:rPr>
      </w:pPr>
    </w:p>
    <w:p w14:paraId="5F2C8A4C" w14:textId="77777777" w:rsidR="00482D69" w:rsidRPr="00482D69" w:rsidRDefault="00482D69" w:rsidP="00903C9F">
      <w:pPr>
        <w:rPr>
          <w:rFonts w:asciiTheme="minorHAnsi" w:hAnsiTheme="minorHAnsi" w:cstheme="minorHAnsi"/>
          <w:b/>
          <w:bCs/>
          <w:lang w:eastAsia="en-US"/>
        </w:rPr>
      </w:pPr>
    </w:p>
    <w:p w14:paraId="5B1077CF" w14:textId="7088E5EE" w:rsidR="00903C9F" w:rsidRPr="00482D69" w:rsidRDefault="001F5F43" w:rsidP="00903C9F">
      <w:pPr>
        <w:jc w:val="center"/>
        <w:rPr>
          <w:rFonts w:asciiTheme="minorHAnsi" w:hAnsiTheme="minorHAnsi" w:cstheme="minorHAnsi"/>
          <w:b/>
          <w:bCs/>
          <w:lang w:eastAsia="en-US"/>
        </w:rPr>
      </w:pPr>
      <w:r>
        <w:rPr>
          <w:rFonts w:asciiTheme="minorHAnsi" w:hAnsiTheme="minorHAnsi" w:cstheme="minorHAnsi"/>
          <w:b/>
          <w:bCs/>
          <w:lang w:eastAsia="en-US"/>
        </w:rPr>
        <w:t>REPAIR</w:t>
      </w:r>
      <w:r w:rsidR="00903C9F" w:rsidRPr="00482D69">
        <w:rPr>
          <w:rFonts w:asciiTheme="minorHAnsi" w:hAnsiTheme="minorHAnsi" w:cstheme="minorHAnsi"/>
          <w:b/>
          <w:bCs/>
          <w:lang w:eastAsia="en-US"/>
        </w:rPr>
        <w:t xml:space="preserve"> </w:t>
      </w:r>
      <w:r w:rsidR="00BA6892">
        <w:rPr>
          <w:rFonts w:asciiTheme="minorHAnsi" w:hAnsiTheme="minorHAnsi" w:cstheme="minorHAnsi"/>
          <w:b/>
          <w:bCs/>
          <w:lang w:eastAsia="en-US"/>
        </w:rPr>
        <w:t xml:space="preserve">WORKING </w:t>
      </w:r>
      <w:r w:rsidR="00903C9F" w:rsidRPr="00482D69">
        <w:rPr>
          <w:rFonts w:asciiTheme="minorHAnsi" w:hAnsiTheme="minorHAnsi" w:cstheme="minorHAnsi"/>
          <w:b/>
          <w:bCs/>
          <w:lang w:eastAsia="en-US"/>
        </w:rPr>
        <w:t>PAPER</w:t>
      </w:r>
    </w:p>
    <w:p w14:paraId="638CBEAB" w14:textId="428AAA1A" w:rsidR="001C1BD7" w:rsidRDefault="001C1BD7" w:rsidP="001C1BD7">
      <w:pPr>
        <w:rPr>
          <w:rFonts w:asciiTheme="minorHAnsi" w:hAnsiTheme="minorHAnsi" w:cstheme="minorHAnsi"/>
          <w:b/>
          <w:bCs/>
          <w:lang w:eastAsia="en-US"/>
        </w:rPr>
      </w:pPr>
    </w:p>
    <w:p w14:paraId="5CAC7DFC" w14:textId="77777777" w:rsidR="00482D69" w:rsidRPr="00482D69" w:rsidRDefault="00482D69" w:rsidP="001C1BD7">
      <w:pPr>
        <w:rPr>
          <w:rFonts w:asciiTheme="minorHAnsi" w:hAnsiTheme="minorHAnsi" w:cstheme="minorHAnsi"/>
          <w:b/>
          <w:bCs/>
          <w:lang w:eastAsia="en-US"/>
        </w:rPr>
      </w:pPr>
    </w:p>
    <w:p w14:paraId="028F8A8B" w14:textId="0050B7E7" w:rsidR="001C1BD7" w:rsidRPr="00482D69" w:rsidRDefault="001C1BD7" w:rsidP="001C1BD7">
      <w:pPr>
        <w:jc w:val="center"/>
        <w:rPr>
          <w:b/>
          <w:bCs/>
          <w:lang w:eastAsia="en-US"/>
        </w:rPr>
      </w:pPr>
      <w:r w:rsidRPr="00482D69">
        <w:rPr>
          <w:rFonts w:asciiTheme="minorHAnsi" w:hAnsiTheme="minorHAnsi" w:cstheme="minorHAnsi"/>
          <w:b/>
          <w:bCs/>
          <w:color w:val="000000" w:themeColor="text1"/>
        </w:rPr>
        <w:t>Allison</w:t>
      </w:r>
      <w:r w:rsidR="008B2C71" w:rsidRPr="00482D69">
        <w:rPr>
          <w:rFonts w:asciiTheme="minorHAnsi" w:hAnsiTheme="minorHAnsi" w:cstheme="minorHAnsi"/>
          <w:b/>
          <w:bCs/>
          <w:color w:val="000000" w:themeColor="text1"/>
        </w:rPr>
        <w:t xml:space="preserve"> M Orr</w:t>
      </w:r>
      <w:r w:rsidR="00903C9F" w:rsidRPr="00482D69">
        <w:rPr>
          <w:rFonts w:asciiTheme="minorHAnsi" w:hAnsiTheme="minorHAnsi" w:cstheme="minorHAnsi"/>
          <w:b/>
          <w:bCs/>
          <w:color w:val="000000" w:themeColor="text1"/>
        </w:rPr>
        <w:t>,</w:t>
      </w:r>
      <w:r w:rsidRPr="00482D69">
        <w:rPr>
          <w:rFonts w:asciiTheme="minorHAnsi" w:hAnsiTheme="minorHAnsi" w:cstheme="minorHAnsi"/>
          <w:b/>
          <w:bCs/>
          <w:color w:val="000000" w:themeColor="text1"/>
        </w:rPr>
        <w:t xml:space="preserve"> </w:t>
      </w:r>
      <w:r w:rsidR="00063715">
        <w:rPr>
          <w:rFonts w:asciiTheme="minorHAnsi" w:hAnsiTheme="minorHAnsi" w:cstheme="minorHAnsi"/>
          <w:b/>
          <w:bCs/>
          <w:color w:val="000000" w:themeColor="text1"/>
        </w:rPr>
        <w:t>Cath Jackson</w:t>
      </w:r>
      <w:r w:rsidR="001F5F43">
        <w:rPr>
          <w:rFonts w:asciiTheme="minorHAnsi" w:hAnsiTheme="minorHAnsi" w:cstheme="minorHAnsi"/>
          <w:b/>
          <w:bCs/>
          <w:color w:val="000000" w:themeColor="text1"/>
        </w:rPr>
        <w:t xml:space="preserve">, </w:t>
      </w:r>
      <w:r w:rsidR="00063715">
        <w:rPr>
          <w:rFonts w:asciiTheme="minorHAnsi" w:hAnsiTheme="minorHAnsi" w:cstheme="minorHAnsi"/>
          <w:b/>
          <w:bCs/>
          <w:color w:val="000000" w:themeColor="text1"/>
        </w:rPr>
        <w:t xml:space="preserve">James </w:t>
      </w:r>
      <w:r w:rsidR="001F5F43">
        <w:rPr>
          <w:rFonts w:asciiTheme="minorHAnsi" w:hAnsiTheme="minorHAnsi" w:cstheme="minorHAnsi"/>
          <w:b/>
          <w:bCs/>
          <w:color w:val="000000" w:themeColor="text1"/>
        </w:rPr>
        <w:t xml:space="preserve">T </w:t>
      </w:r>
      <w:r w:rsidR="00063715">
        <w:rPr>
          <w:rFonts w:asciiTheme="minorHAnsi" w:hAnsiTheme="minorHAnsi" w:cstheme="minorHAnsi"/>
          <w:b/>
          <w:bCs/>
          <w:color w:val="000000" w:themeColor="text1"/>
        </w:rPr>
        <w:t>White</w:t>
      </w:r>
      <w:r w:rsidR="001F5F43">
        <w:rPr>
          <w:rFonts w:asciiTheme="minorHAnsi" w:hAnsiTheme="minorHAnsi" w:cstheme="minorHAnsi"/>
          <w:b/>
          <w:bCs/>
          <w:color w:val="000000" w:themeColor="text1"/>
        </w:rPr>
        <w:t xml:space="preserve"> and Joanna L Stewart</w:t>
      </w:r>
    </w:p>
    <w:p w14:paraId="04E08E49" w14:textId="4AC25EC6" w:rsidR="001C1BD7" w:rsidRDefault="001C1BD7" w:rsidP="001C1BD7">
      <w:pPr>
        <w:rPr>
          <w:lang w:eastAsia="en-US"/>
        </w:rPr>
      </w:pPr>
    </w:p>
    <w:p w14:paraId="1DBAB19E" w14:textId="1E3CAC27" w:rsidR="00482D69" w:rsidRDefault="00482D69" w:rsidP="001C1BD7">
      <w:pPr>
        <w:rPr>
          <w:lang w:eastAsia="en-US"/>
        </w:rPr>
      </w:pPr>
    </w:p>
    <w:p w14:paraId="18A51F06" w14:textId="11A3EE44" w:rsidR="00482D69" w:rsidRDefault="00482D69" w:rsidP="001C1BD7">
      <w:pPr>
        <w:rPr>
          <w:lang w:eastAsia="en-US"/>
        </w:rPr>
      </w:pPr>
    </w:p>
    <w:p w14:paraId="58F86C4F" w14:textId="4D600916" w:rsidR="00482D69" w:rsidRDefault="00482D69" w:rsidP="001C1BD7">
      <w:pPr>
        <w:rPr>
          <w:lang w:eastAsia="en-US"/>
        </w:rPr>
      </w:pPr>
    </w:p>
    <w:p w14:paraId="78496A87" w14:textId="3388BF92" w:rsidR="00482D69" w:rsidRDefault="00482D69" w:rsidP="001C1BD7">
      <w:pPr>
        <w:rPr>
          <w:lang w:eastAsia="en-US"/>
        </w:rPr>
      </w:pPr>
    </w:p>
    <w:p w14:paraId="202A07B4" w14:textId="077638B2" w:rsidR="00482D69" w:rsidRDefault="00482D69" w:rsidP="001C1BD7">
      <w:pPr>
        <w:rPr>
          <w:lang w:eastAsia="en-US"/>
        </w:rPr>
      </w:pPr>
    </w:p>
    <w:p w14:paraId="76FB6DB5" w14:textId="77777777" w:rsidR="00D8756E" w:rsidRDefault="00D8756E" w:rsidP="001C1BD7">
      <w:pPr>
        <w:rPr>
          <w:lang w:eastAsia="en-US"/>
        </w:rPr>
      </w:pPr>
    </w:p>
    <w:p w14:paraId="6F63352A" w14:textId="4BFB7E00" w:rsidR="00482D69" w:rsidRDefault="00482D69" w:rsidP="001C1BD7">
      <w:pPr>
        <w:rPr>
          <w:lang w:eastAsia="en-US"/>
        </w:rPr>
      </w:pPr>
    </w:p>
    <w:p w14:paraId="0A1D95A7" w14:textId="2C02DE5E" w:rsidR="00482D69" w:rsidRDefault="00482D69" w:rsidP="001C1BD7">
      <w:pPr>
        <w:rPr>
          <w:lang w:eastAsia="en-US"/>
        </w:rPr>
      </w:pPr>
    </w:p>
    <w:p w14:paraId="0519868E" w14:textId="3F4BB739" w:rsidR="00482D69" w:rsidRDefault="00482D69" w:rsidP="001C1BD7">
      <w:pPr>
        <w:rPr>
          <w:lang w:eastAsia="en-US"/>
        </w:rPr>
      </w:pPr>
    </w:p>
    <w:p w14:paraId="56C0E40A" w14:textId="40F947C6" w:rsidR="00482D69" w:rsidRDefault="00482D69" w:rsidP="001C1BD7">
      <w:pPr>
        <w:rPr>
          <w:lang w:eastAsia="en-US"/>
        </w:rPr>
      </w:pPr>
    </w:p>
    <w:p w14:paraId="36433F3D" w14:textId="79DF0EEB" w:rsidR="00482D69" w:rsidRDefault="00482D69" w:rsidP="001C1BD7">
      <w:pPr>
        <w:rPr>
          <w:lang w:eastAsia="en-US"/>
        </w:rPr>
      </w:pPr>
    </w:p>
    <w:p w14:paraId="7D4C36A4" w14:textId="606A24E1" w:rsidR="00482D69" w:rsidRDefault="00482D69" w:rsidP="001C1BD7">
      <w:pPr>
        <w:rPr>
          <w:lang w:eastAsia="en-US"/>
        </w:rPr>
      </w:pPr>
    </w:p>
    <w:p w14:paraId="6315C100" w14:textId="549A011A" w:rsidR="00482D69" w:rsidRDefault="00482D69" w:rsidP="001C1BD7">
      <w:pPr>
        <w:rPr>
          <w:lang w:eastAsia="en-US"/>
        </w:rPr>
      </w:pPr>
    </w:p>
    <w:p w14:paraId="33293610" w14:textId="4F0BC1B4" w:rsidR="00482D69" w:rsidRDefault="00482D69" w:rsidP="001C1BD7">
      <w:pPr>
        <w:rPr>
          <w:lang w:eastAsia="en-US"/>
        </w:rPr>
      </w:pPr>
    </w:p>
    <w:p w14:paraId="5D072C3B" w14:textId="77777777" w:rsidR="00482D69" w:rsidRDefault="00482D69" w:rsidP="001C1BD7">
      <w:pPr>
        <w:rPr>
          <w:lang w:eastAsia="en-US"/>
        </w:rPr>
      </w:pPr>
    </w:p>
    <w:p w14:paraId="7B8849B1" w14:textId="35523D51" w:rsidR="00482D69" w:rsidRDefault="00482D69" w:rsidP="001C1BD7">
      <w:pPr>
        <w:rPr>
          <w:lang w:eastAsia="en-US"/>
        </w:rPr>
      </w:pPr>
    </w:p>
    <w:p w14:paraId="769162DD" w14:textId="77777777" w:rsidR="00482D69" w:rsidRDefault="00482D69" w:rsidP="001C1BD7">
      <w:pPr>
        <w:rPr>
          <w:lang w:eastAsia="en-US"/>
        </w:rPr>
      </w:pPr>
    </w:p>
    <w:p w14:paraId="70DD2718" w14:textId="6F31C1BF" w:rsidR="00482D69" w:rsidRDefault="00482D69" w:rsidP="001C1BD7">
      <w:pPr>
        <w:rPr>
          <w:lang w:eastAsia="en-US"/>
        </w:rPr>
      </w:pPr>
    </w:p>
    <w:p w14:paraId="62E2AA4E" w14:textId="2CAC5E29" w:rsidR="00482D69" w:rsidRDefault="00482D69" w:rsidP="001C1BD7">
      <w:pPr>
        <w:rPr>
          <w:lang w:eastAsia="en-US"/>
        </w:rPr>
      </w:pPr>
    </w:p>
    <w:p w14:paraId="6BA50CFB" w14:textId="77777777" w:rsidR="00482D69" w:rsidRDefault="00482D69" w:rsidP="001C1BD7">
      <w:pPr>
        <w:rPr>
          <w:lang w:eastAsia="en-US"/>
        </w:rPr>
      </w:pPr>
    </w:p>
    <w:p w14:paraId="72EE9E22" w14:textId="47356800" w:rsidR="00482D69" w:rsidRDefault="00482D69" w:rsidP="001C1BD7">
      <w:pPr>
        <w:rPr>
          <w:lang w:eastAsia="en-US"/>
        </w:rPr>
      </w:pPr>
    </w:p>
    <w:p w14:paraId="66F042E7" w14:textId="262EC658" w:rsidR="00482D69" w:rsidRPr="00482D69" w:rsidRDefault="001F5F43" w:rsidP="00482D69">
      <w:pPr>
        <w:jc w:val="center"/>
        <w:rPr>
          <w:rFonts w:asciiTheme="minorHAnsi" w:hAnsiTheme="minorHAnsi" w:cstheme="minorHAnsi"/>
          <w:b/>
          <w:bCs/>
          <w:lang w:eastAsia="en-US"/>
        </w:rPr>
      </w:pPr>
      <w:r>
        <w:rPr>
          <w:rFonts w:asciiTheme="minorHAnsi" w:hAnsiTheme="minorHAnsi" w:cstheme="minorHAnsi"/>
          <w:b/>
          <w:bCs/>
          <w:lang w:eastAsia="en-US"/>
        </w:rPr>
        <w:t xml:space="preserve">SEPTEMBER </w:t>
      </w:r>
      <w:r w:rsidR="00482D69" w:rsidRPr="00482D69">
        <w:rPr>
          <w:rFonts w:asciiTheme="minorHAnsi" w:hAnsiTheme="minorHAnsi" w:cstheme="minorHAnsi"/>
          <w:b/>
          <w:bCs/>
          <w:lang w:eastAsia="en-US"/>
        </w:rPr>
        <w:t>202</w:t>
      </w:r>
      <w:r>
        <w:rPr>
          <w:rFonts w:asciiTheme="minorHAnsi" w:hAnsiTheme="minorHAnsi" w:cstheme="minorHAnsi"/>
          <w:b/>
          <w:bCs/>
          <w:lang w:eastAsia="en-US"/>
        </w:rPr>
        <w:t>1</w:t>
      </w:r>
    </w:p>
    <w:p w14:paraId="118F9241" w14:textId="77777777" w:rsidR="00482D69" w:rsidRDefault="00482D69">
      <w:pPr>
        <w:spacing w:after="200" w:line="276" w:lineRule="auto"/>
        <w:rPr>
          <w:rFonts w:asciiTheme="minorHAnsi" w:eastAsiaTheme="majorEastAsia" w:hAnsiTheme="minorHAnsi" w:cstheme="minorHAnsi"/>
          <w:b/>
          <w:bCs/>
          <w:color w:val="365F91" w:themeColor="accent1" w:themeShade="BF"/>
          <w:sz w:val="28"/>
          <w:szCs w:val="28"/>
          <w:lang w:eastAsia="en-US"/>
        </w:rPr>
      </w:pPr>
      <w:r>
        <w:rPr>
          <w:rFonts w:asciiTheme="minorHAnsi" w:hAnsiTheme="minorHAnsi" w:cstheme="minorHAnsi"/>
          <w:b/>
          <w:bCs/>
          <w:sz w:val="28"/>
          <w:szCs w:val="28"/>
        </w:rPr>
        <w:br w:type="page"/>
      </w:r>
    </w:p>
    <w:p w14:paraId="4812CBAD" w14:textId="50A45836" w:rsidR="008949F6" w:rsidRPr="00F345D5" w:rsidRDefault="00063715" w:rsidP="00C22CED">
      <w:pPr>
        <w:pStyle w:val="Heading2"/>
        <w:spacing w:before="240"/>
        <w:rPr>
          <w:rFonts w:asciiTheme="minorHAnsi" w:hAnsiTheme="minorHAnsi"/>
          <w:b/>
          <w:bCs/>
        </w:rPr>
      </w:pPr>
      <w:r>
        <w:rPr>
          <w:rFonts w:asciiTheme="minorHAnsi" w:hAnsiTheme="minorHAnsi"/>
          <w:b/>
          <w:bCs/>
        </w:rPr>
        <w:lastRenderedPageBreak/>
        <w:t>Introduction</w:t>
      </w:r>
    </w:p>
    <w:p w14:paraId="300F59CA" w14:textId="77777777" w:rsidR="00440906" w:rsidRPr="00DF2648" w:rsidRDefault="00440906" w:rsidP="001F783C">
      <w:pPr>
        <w:pStyle w:val="NoSpacing"/>
      </w:pPr>
    </w:p>
    <w:p w14:paraId="2F240762" w14:textId="6D85C349" w:rsidR="00F73492" w:rsidRPr="007B4F95" w:rsidRDefault="003F54BD" w:rsidP="00DF2648">
      <w:pPr>
        <w:spacing w:line="360" w:lineRule="auto"/>
        <w:jc w:val="both"/>
        <w:rPr>
          <w:rFonts w:asciiTheme="minorHAnsi" w:hAnsiTheme="minorHAnsi" w:cstheme="minorHAnsi"/>
          <w:lang w:eastAsia="en-US"/>
        </w:rPr>
      </w:pPr>
      <w:r w:rsidRPr="007B4F95">
        <w:rPr>
          <w:rFonts w:asciiTheme="minorHAnsi" w:hAnsiTheme="minorHAnsi" w:cstheme="minorHAnsi"/>
          <w:lang w:eastAsia="en-US"/>
        </w:rPr>
        <w:t>Th</w:t>
      </w:r>
      <w:r w:rsidR="00063715">
        <w:rPr>
          <w:rFonts w:asciiTheme="minorHAnsi" w:hAnsiTheme="minorHAnsi" w:cstheme="minorHAnsi"/>
          <w:lang w:eastAsia="en-US"/>
        </w:rPr>
        <w:t>e REPAIR</w:t>
      </w:r>
      <w:r w:rsidRPr="007B4F95">
        <w:rPr>
          <w:rFonts w:asciiTheme="minorHAnsi" w:hAnsiTheme="minorHAnsi" w:cstheme="minorHAnsi"/>
          <w:lang w:eastAsia="en-US"/>
        </w:rPr>
        <w:t xml:space="preserve"> study seeks to develop a </w:t>
      </w:r>
      <w:r w:rsidR="00F73492" w:rsidRPr="007B4F95">
        <w:rPr>
          <w:rFonts w:asciiTheme="minorHAnsi" w:hAnsiTheme="minorHAnsi" w:cstheme="minorHAnsi"/>
        </w:rPr>
        <w:t xml:space="preserve">holistic understanding of </w:t>
      </w:r>
      <w:r w:rsidRPr="007B4F95">
        <w:rPr>
          <w:rFonts w:asciiTheme="minorHAnsi" w:hAnsiTheme="minorHAnsi" w:cstheme="minorHAnsi"/>
        </w:rPr>
        <w:t xml:space="preserve">adaptation </w:t>
      </w:r>
      <w:r w:rsidR="00F73492" w:rsidRPr="007B4F95">
        <w:rPr>
          <w:rFonts w:asciiTheme="minorHAnsi" w:hAnsiTheme="minorHAnsi" w:cstheme="minorHAnsi"/>
        </w:rPr>
        <w:t>within a</w:t>
      </w:r>
      <w:r w:rsidR="00B312C2" w:rsidRPr="007B4F95">
        <w:rPr>
          <w:rFonts w:asciiTheme="minorHAnsi" w:hAnsiTheme="minorHAnsi" w:cstheme="minorHAnsi"/>
        </w:rPr>
        <w:t xml:space="preserve"> complex</w:t>
      </w:r>
      <w:r w:rsidR="00F73492" w:rsidRPr="007B4F95">
        <w:rPr>
          <w:rFonts w:asciiTheme="minorHAnsi" w:hAnsiTheme="minorHAnsi" w:cstheme="minorHAnsi"/>
        </w:rPr>
        <w:t xml:space="preserve"> urban retailing system</w:t>
      </w:r>
      <w:r w:rsidRPr="007B4F95">
        <w:rPr>
          <w:rFonts w:asciiTheme="minorHAnsi" w:hAnsiTheme="minorHAnsi" w:cstheme="minorHAnsi"/>
        </w:rPr>
        <w:t xml:space="preserve"> by </w:t>
      </w:r>
      <w:r w:rsidR="00F73492" w:rsidRPr="007B4F95">
        <w:rPr>
          <w:rFonts w:asciiTheme="minorHAnsi" w:hAnsiTheme="minorHAnsi" w:cstheme="minorHAnsi"/>
        </w:rPr>
        <w:t>explor</w:t>
      </w:r>
      <w:r w:rsidRPr="007B4F95">
        <w:rPr>
          <w:rFonts w:asciiTheme="minorHAnsi" w:hAnsiTheme="minorHAnsi" w:cstheme="minorHAnsi"/>
        </w:rPr>
        <w:t>ing</w:t>
      </w:r>
      <w:r w:rsidR="00F73492" w:rsidRPr="007B4F95">
        <w:rPr>
          <w:rFonts w:asciiTheme="minorHAnsi" w:hAnsiTheme="minorHAnsi" w:cstheme="minorHAnsi"/>
        </w:rPr>
        <w:t xml:space="preserve"> and explain</w:t>
      </w:r>
      <w:r w:rsidR="00374949">
        <w:rPr>
          <w:rFonts w:asciiTheme="minorHAnsi" w:hAnsiTheme="minorHAnsi" w:cstheme="minorHAnsi"/>
        </w:rPr>
        <w:t>ing</w:t>
      </w:r>
      <w:r w:rsidR="00F73492" w:rsidRPr="007B4F95">
        <w:rPr>
          <w:rFonts w:asciiTheme="minorHAnsi" w:hAnsiTheme="minorHAnsi" w:cstheme="minorHAnsi"/>
        </w:rPr>
        <w:t xml:space="preserve"> </w:t>
      </w:r>
      <w:r w:rsidRPr="007B4F95">
        <w:rPr>
          <w:rFonts w:asciiTheme="minorHAnsi" w:hAnsiTheme="minorHAnsi" w:cstheme="minorHAnsi"/>
        </w:rPr>
        <w:t xml:space="preserve">real estate </w:t>
      </w:r>
      <w:r w:rsidR="00F73492" w:rsidRPr="007B4F95">
        <w:rPr>
          <w:rFonts w:asciiTheme="minorHAnsi" w:hAnsiTheme="minorHAnsi" w:cstheme="minorHAnsi"/>
        </w:rPr>
        <w:t>market</w:t>
      </w:r>
      <w:r w:rsidRPr="007B4F95">
        <w:rPr>
          <w:rFonts w:asciiTheme="minorHAnsi" w:hAnsiTheme="minorHAnsi" w:cstheme="minorHAnsi"/>
        </w:rPr>
        <w:t xml:space="preserve"> outcomes within </w:t>
      </w:r>
      <w:r w:rsidR="007B4F95" w:rsidRPr="007B4F95">
        <w:rPr>
          <w:rFonts w:asciiTheme="minorHAnsi" w:hAnsiTheme="minorHAnsi" w:cstheme="minorHAnsi"/>
        </w:rPr>
        <w:t xml:space="preserve">city centres </w:t>
      </w:r>
      <w:r w:rsidR="00F73492" w:rsidRPr="007B4F95">
        <w:rPr>
          <w:rFonts w:asciiTheme="minorHAnsi" w:hAnsiTheme="minorHAnsi" w:cstheme="minorHAnsi"/>
        </w:rPr>
        <w:t>by undertaking mixed methods research</w:t>
      </w:r>
      <w:r w:rsidR="00374949">
        <w:rPr>
          <w:rFonts w:asciiTheme="minorHAnsi" w:hAnsiTheme="minorHAnsi" w:cstheme="minorHAnsi"/>
        </w:rPr>
        <w:t>,</w:t>
      </w:r>
      <w:r w:rsidR="00F73492" w:rsidRPr="007B4F95">
        <w:rPr>
          <w:rFonts w:asciiTheme="minorHAnsi" w:hAnsiTheme="minorHAnsi" w:cstheme="minorHAnsi"/>
        </w:rPr>
        <w:t xml:space="preserve"> blend</w:t>
      </w:r>
      <w:r w:rsidR="00374949">
        <w:rPr>
          <w:rFonts w:asciiTheme="minorHAnsi" w:hAnsiTheme="minorHAnsi" w:cstheme="minorHAnsi"/>
        </w:rPr>
        <w:t>ing</w:t>
      </w:r>
      <w:r w:rsidR="00F73492" w:rsidRPr="007B4F95">
        <w:rPr>
          <w:rFonts w:asciiTheme="minorHAnsi" w:hAnsiTheme="minorHAnsi" w:cstheme="minorHAnsi"/>
        </w:rPr>
        <w:t xml:space="preserve"> together multi-dimensional approaches focusing on </w:t>
      </w:r>
      <w:r w:rsidRPr="007B4F95">
        <w:rPr>
          <w:rFonts w:asciiTheme="minorHAnsi" w:hAnsiTheme="minorHAnsi" w:cstheme="minorHAnsi"/>
        </w:rPr>
        <w:t xml:space="preserve">diversity, </w:t>
      </w:r>
      <w:r w:rsidR="00F73492" w:rsidRPr="007B4F95">
        <w:rPr>
          <w:rFonts w:asciiTheme="minorHAnsi" w:hAnsiTheme="minorHAnsi" w:cstheme="minorHAnsi"/>
        </w:rPr>
        <w:t xml:space="preserve">market practices </w:t>
      </w:r>
      <w:r w:rsidRPr="007B4F95">
        <w:rPr>
          <w:rFonts w:asciiTheme="minorHAnsi" w:hAnsiTheme="minorHAnsi" w:cstheme="minorHAnsi"/>
        </w:rPr>
        <w:t xml:space="preserve">and social processes </w:t>
      </w:r>
      <w:r w:rsidR="00F73492" w:rsidRPr="007B4F95">
        <w:rPr>
          <w:rFonts w:asciiTheme="minorHAnsi" w:hAnsiTheme="minorHAnsi" w:cstheme="minorHAnsi"/>
        </w:rPr>
        <w:t>within the retailing system. The focus is on the role of real estate innovation, adaptation and power relations in creating vitality and resilience within an urban retailing system.</w:t>
      </w:r>
    </w:p>
    <w:p w14:paraId="645DA631" w14:textId="77777777" w:rsidR="005D4FA6" w:rsidRPr="007B4F95" w:rsidRDefault="005D4FA6" w:rsidP="00DF2648">
      <w:pPr>
        <w:pStyle w:val="NoSpacing"/>
        <w:spacing w:line="360" w:lineRule="auto"/>
        <w:jc w:val="both"/>
        <w:rPr>
          <w:rFonts w:cstheme="minorHAnsi"/>
          <w:sz w:val="24"/>
          <w:szCs w:val="24"/>
        </w:rPr>
      </w:pPr>
    </w:p>
    <w:p w14:paraId="0C9531D1" w14:textId="6B3FDA78" w:rsidR="00F21E54" w:rsidRPr="00DF2648" w:rsidRDefault="003F14BF" w:rsidP="00DF2648">
      <w:pPr>
        <w:pStyle w:val="NoSpacing"/>
        <w:spacing w:line="360" w:lineRule="auto"/>
        <w:jc w:val="both"/>
        <w:rPr>
          <w:sz w:val="24"/>
          <w:szCs w:val="24"/>
        </w:rPr>
      </w:pPr>
      <w:r w:rsidRPr="007B4F95">
        <w:rPr>
          <w:rFonts w:cstheme="minorHAnsi"/>
          <w:sz w:val="24"/>
          <w:szCs w:val="24"/>
        </w:rPr>
        <w:t xml:space="preserve">For this research, a </w:t>
      </w:r>
      <w:r w:rsidRPr="00DF2648">
        <w:rPr>
          <w:sz w:val="24"/>
          <w:szCs w:val="24"/>
        </w:rPr>
        <w:t xml:space="preserve">collective case study design </w:t>
      </w:r>
      <w:r w:rsidR="007B4F95">
        <w:rPr>
          <w:sz w:val="24"/>
          <w:szCs w:val="24"/>
        </w:rPr>
        <w:t xml:space="preserve">is adopted </w:t>
      </w:r>
      <w:r w:rsidRPr="00DF2648">
        <w:rPr>
          <w:sz w:val="24"/>
          <w:szCs w:val="24"/>
        </w:rPr>
        <w:t xml:space="preserve">based on the </w:t>
      </w:r>
      <w:r w:rsidR="00F21E54" w:rsidRPr="00DF2648">
        <w:rPr>
          <w:sz w:val="24"/>
          <w:szCs w:val="24"/>
        </w:rPr>
        <w:t xml:space="preserve">mixed method </w:t>
      </w:r>
      <w:r w:rsidRPr="00DF2648">
        <w:rPr>
          <w:sz w:val="24"/>
          <w:szCs w:val="24"/>
        </w:rPr>
        <w:t xml:space="preserve">methodology </w:t>
      </w:r>
      <w:r w:rsidR="007B4F95">
        <w:rPr>
          <w:sz w:val="24"/>
          <w:szCs w:val="24"/>
        </w:rPr>
        <w:t xml:space="preserve">as </w:t>
      </w:r>
      <w:r w:rsidRPr="00DF2648">
        <w:rPr>
          <w:sz w:val="24"/>
          <w:szCs w:val="24"/>
        </w:rPr>
        <w:t xml:space="preserve">described by </w:t>
      </w:r>
      <w:r w:rsidR="00853AD2" w:rsidRPr="00DF2648">
        <w:rPr>
          <w:sz w:val="24"/>
          <w:szCs w:val="24"/>
        </w:rPr>
        <w:t xml:space="preserve">Mills </w:t>
      </w:r>
      <w:r w:rsidR="00853AD2" w:rsidRPr="00DF2648">
        <w:rPr>
          <w:i/>
          <w:iCs/>
          <w:sz w:val="24"/>
          <w:szCs w:val="24"/>
        </w:rPr>
        <w:t>et al</w:t>
      </w:r>
      <w:r w:rsidR="00673CA6">
        <w:rPr>
          <w:i/>
          <w:iCs/>
          <w:sz w:val="24"/>
          <w:szCs w:val="24"/>
        </w:rPr>
        <w:t>.</w:t>
      </w:r>
      <w:r w:rsidR="00853AD2" w:rsidRPr="00DF2648">
        <w:rPr>
          <w:sz w:val="24"/>
          <w:szCs w:val="24"/>
        </w:rPr>
        <w:t xml:space="preserve"> </w:t>
      </w:r>
      <w:r w:rsidRPr="00DF2648">
        <w:rPr>
          <w:sz w:val="24"/>
          <w:szCs w:val="24"/>
        </w:rPr>
        <w:t>(20</w:t>
      </w:r>
      <w:r w:rsidR="00853AD2" w:rsidRPr="00DF2648">
        <w:rPr>
          <w:sz w:val="24"/>
          <w:szCs w:val="24"/>
        </w:rPr>
        <w:t>10</w:t>
      </w:r>
      <w:r w:rsidRPr="00DF2648">
        <w:rPr>
          <w:sz w:val="24"/>
          <w:szCs w:val="24"/>
        </w:rPr>
        <w:t>).</w:t>
      </w:r>
      <w:r w:rsidR="00572DB8">
        <w:rPr>
          <w:sz w:val="24"/>
          <w:szCs w:val="24"/>
        </w:rPr>
        <w:t xml:space="preserve"> </w:t>
      </w:r>
      <w:r w:rsidR="00F21E54" w:rsidRPr="00DF2648">
        <w:rPr>
          <w:sz w:val="24"/>
          <w:szCs w:val="24"/>
        </w:rPr>
        <w:t>A case study approach allows in-depth exploration of the complex issues related to the evolution of use, ownership, and management of retail real estate within a city retailing system, and across different work packages will provide a comparative base for multi-faceted inquiry into transformations, innovations and power structures that have shaped the adaptive capacity of the retailing real estate market.</w:t>
      </w:r>
    </w:p>
    <w:p w14:paraId="3F4AA0D4" w14:textId="77777777" w:rsidR="00F21E54" w:rsidRPr="00DF2648" w:rsidRDefault="00F21E54" w:rsidP="00DF2648">
      <w:pPr>
        <w:pStyle w:val="NoSpacing"/>
        <w:spacing w:line="360" w:lineRule="auto"/>
        <w:jc w:val="both"/>
        <w:rPr>
          <w:sz w:val="24"/>
          <w:szCs w:val="24"/>
        </w:rPr>
      </w:pPr>
    </w:p>
    <w:p w14:paraId="79D98072" w14:textId="2A8B2FDC" w:rsidR="004B4F17" w:rsidRPr="00DF2648" w:rsidRDefault="00440906" w:rsidP="00DF2648">
      <w:pPr>
        <w:pStyle w:val="NoSpacing"/>
        <w:spacing w:line="360" w:lineRule="auto"/>
        <w:jc w:val="both"/>
        <w:rPr>
          <w:sz w:val="24"/>
          <w:szCs w:val="24"/>
        </w:rPr>
      </w:pPr>
      <w:r w:rsidRPr="00DF2648">
        <w:rPr>
          <w:sz w:val="24"/>
          <w:szCs w:val="24"/>
        </w:rPr>
        <w:t>There are four research work packages (WP), each with its own sampling, data collection, methods and analysis strategies and linked together by common case study cities</w:t>
      </w:r>
      <w:r w:rsidR="00F21E54" w:rsidRPr="00DF2648">
        <w:rPr>
          <w:sz w:val="24"/>
          <w:szCs w:val="24"/>
        </w:rPr>
        <w:t>.</w:t>
      </w:r>
      <w:r w:rsidR="00572DB8">
        <w:rPr>
          <w:sz w:val="24"/>
          <w:szCs w:val="24"/>
        </w:rPr>
        <w:t xml:space="preserve"> </w:t>
      </w:r>
      <w:r w:rsidR="00F21E54" w:rsidRPr="00DF2648">
        <w:rPr>
          <w:sz w:val="24"/>
          <w:szCs w:val="24"/>
        </w:rPr>
        <w:t xml:space="preserve">The specific methods employed in </w:t>
      </w:r>
      <w:r w:rsidR="00673CA6">
        <w:rPr>
          <w:sz w:val="24"/>
          <w:szCs w:val="24"/>
        </w:rPr>
        <w:t xml:space="preserve">WPA and WPC </w:t>
      </w:r>
      <w:r w:rsidR="00F21E54" w:rsidRPr="00DF2648">
        <w:rPr>
          <w:sz w:val="24"/>
          <w:szCs w:val="24"/>
        </w:rPr>
        <w:t>are detailed in the work package specific sections of th</w:t>
      </w:r>
      <w:r w:rsidR="00673CA6">
        <w:rPr>
          <w:sz w:val="24"/>
          <w:szCs w:val="24"/>
        </w:rPr>
        <w:t>is</w:t>
      </w:r>
      <w:r w:rsidR="00F21E54" w:rsidRPr="00DF2648">
        <w:rPr>
          <w:sz w:val="24"/>
          <w:szCs w:val="24"/>
        </w:rPr>
        <w:t xml:space="preserve"> report</w:t>
      </w:r>
      <w:r w:rsidR="00673CA6">
        <w:rPr>
          <w:sz w:val="24"/>
          <w:szCs w:val="24"/>
        </w:rPr>
        <w:t xml:space="preserve"> while details of WPB and WPD are presented in separate reports</w:t>
      </w:r>
      <w:r w:rsidR="00F21E54" w:rsidRPr="00DF2648">
        <w:rPr>
          <w:sz w:val="24"/>
          <w:szCs w:val="24"/>
        </w:rPr>
        <w:t>. Together they combine positivistic elements of quantitative research methods with constructivist elements of qualitative research methods.</w:t>
      </w:r>
    </w:p>
    <w:p w14:paraId="7ED2506E" w14:textId="65648B1D" w:rsidR="001B2FB5" w:rsidRPr="00DF2648" w:rsidRDefault="001B2FB5" w:rsidP="00DF2648">
      <w:pPr>
        <w:pStyle w:val="NoSpacing"/>
        <w:spacing w:line="360" w:lineRule="auto"/>
        <w:jc w:val="both"/>
        <w:rPr>
          <w:sz w:val="24"/>
          <w:szCs w:val="24"/>
        </w:rPr>
      </w:pPr>
    </w:p>
    <w:p w14:paraId="5D39BAD0" w14:textId="0D919DAA" w:rsidR="001B2FB5" w:rsidRPr="00DF2648" w:rsidRDefault="001B2FB5" w:rsidP="00DF2648">
      <w:pPr>
        <w:pStyle w:val="NoSpacing"/>
        <w:spacing w:line="360" w:lineRule="auto"/>
        <w:jc w:val="both"/>
        <w:rPr>
          <w:sz w:val="24"/>
          <w:szCs w:val="24"/>
        </w:rPr>
      </w:pPr>
      <w:r w:rsidRPr="00DF2648">
        <w:rPr>
          <w:sz w:val="24"/>
          <w:szCs w:val="24"/>
        </w:rPr>
        <w:t xml:space="preserve">The case studies are five major UK retailing centres, bounded by time and location. The </w:t>
      </w:r>
      <w:r w:rsidR="00FD30EC">
        <w:rPr>
          <w:sz w:val="24"/>
          <w:szCs w:val="24"/>
        </w:rPr>
        <w:t>study period</w:t>
      </w:r>
      <w:r w:rsidRPr="00DF2648">
        <w:rPr>
          <w:sz w:val="24"/>
          <w:szCs w:val="24"/>
        </w:rPr>
        <w:t xml:space="preserve"> spans 2000 </w:t>
      </w:r>
      <w:r w:rsidR="00673CA6">
        <w:rPr>
          <w:sz w:val="24"/>
          <w:szCs w:val="24"/>
        </w:rPr>
        <w:t>to present</w:t>
      </w:r>
      <w:r w:rsidR="00374949">
        <w:rPr>
          <w:sz w:val="24"/>
          <w:szCs w:val="24"/>
        </w:rPr>
        <w:t>. D</w:t>
      </w:r>
      <w:r w:rsidRPr="00DF2648">
        <w:rPr>
          <w:sz w:val="24"/>
          <w:szCs w:val="24"/>
        </w:rPr>
        <w:t>etails of the case studies are given below.</w:t>
      </w:r>
    </w:p>
    <w:p w14:paraId="6FDA0EFA" w14:textId="01DC816F" w:rsidR="004A0710" w:rsidRDefault="004A0710" w:rsidP="001F783C">
      <w:pPr>
        <w:pStyle w:val="NoSpacing"/>
      </w:pPr>
    </w:p>
    <w:p w14:paraId="035E3799" w14:textId="77777777" w:rsidR="001F783C" w:rsidRPr="001F783C" w:rsidRDefault="001F783C" w:rsidP="001F783C">
      <w:pPr>
        <w:pStyle w:val="NoSpacing"/>
      </w:pPr>
    </w:p>
    <w:p w14:paraId="1A6A0FC4" w14:textId="4BD8DDB1" w:rsidR="00F21E54" w:rsidRPr="007B4F95" w:rsidRDefault="000448A1" w:rsidP="001F783C">
      <w:pPr>
        <w:pStyle w:val="Heading1"/>
        <w:spacing w:before="0"/>
        <w:rPr>
          <w:rFonts w:asciiTheme="minorHAnsi" w:hAnsiTheme="minorHAnsi"/>
          <w:b/>
          <w:bCs/>
          <w:sz w:val="26"/>
          <w:szCs w:val="26"/>
        </w:rPr>
      </w:pPr>
      <w:r w:rsidRPr="007B4F95">
        <w:rPr>
          <w:rFonts w:asciiTheme="minorHAnsi" w:hAnsiTheme="minorHAnsi"/>
          <w:b/>
          <w:bCs/>
          <w:sz w:val="26"/>
          <w:szCs w:val="26"/>
        </w:rPr>
        <w:t xml:space="preserve">Rationale </w:t>
      </w:r>
      <w:r w:rsidR="007B4F95" w:rsidRPr="007B4F95">
        <w:rPr>
          <w:rFonts w:asciiTheme="minorHAnsi" w:hAnsiTheme="minorHAnsi"/>
          <w:b/>
          <w:bCs/>
          <w:sz w:val="26"/>
          <w:szCs w:val="26"/>
        </w:rPr>
        <w:t>u</w:t>
      </w:r>
      <w:r w:rsidRPr="007B4F95">
        <w:rPr>
          <w:rFonts w:asciiTheme="minorHAnsi" w:hAnsiTheme="minorHAnsi"/>
          <w:b/>
          <w:bCs/>
          <w:sz w:val="26"/>
          <w:szCs w:val="26"/>
        </w:rPr>
        <w:t xml:space="preserve">nderpinning the </w:t>
      </w:r>
      <w:r w:rsidR="007B4F95" w:rsidRPr="007B4F95">
        <w:rPr>
          <w:rFonts w:asciiTheme="minorHAnsi" w:hAnsiTheme="minorHAnsi"/>
          <w:b/>
          <w:bCs/>
          <w:sz w:val="26"/>
          <w:szCs w:val="26"/>
        </w:rPr>
        <w:t>c</w:t>
      </w:r>
      <w:r w:rsidR="00F21E54" w:rsidRPr="007B4F95">
        <w:rPr>
          <w:rFonts w:asciiTheme="minorHAnsi" w:hAnsiTheme="minorHAnsi"/>
          <w:b/>
          <w:bCs/>
          <w:sz w:val="26"/>
          <w:szCs w:val="26"/>
        </w:rPr>
        <w:t xml:space="preserve">ase </w:t>
      </w:r>
      <w:r w:rsidR="007B4F95" w:rsidRPr="007B4F95">
        <w:rPr>
          <w:rFonts w:asciiTheme="minorHAnsi" w:hAnsiTheme="minorHAnsi"/>
          <w:b/>
          <w:bCs/>
          <w:sz w:val="26"/>
          <w:szCs w:val="26"/>
        </w:rPr>
        <w:t>s</w:t>
      </w:r>
      <w:r w:rsidR="00F21E54" w:rsidRPr="007B4F95">
        <w:rPr>
          <w:rFonts w:asciiTheme="minorHAnsi" w:hAnsiTheme="minorHAnsi"/>
          <w:b/>
          <w:bCs/>
          <w:sz w:val="26"/>
          <w:szCs w:val="26"/>
        </w:rPr>
        <w:t xml:space="preserve">tudy </w:t>
      </w:r>
      <w:r w:rsidR="007B4F95" w:rsidRPr="007B4F95">
        <w:rPr>
          <w:rFonts w:asciiTheme="minorHAnsi" w:hAnsiTheme="minorHAnsi"/>
          <w:b/>
          <w:bCs/>
          <w:sz w:val="26"/>
          <w:szCs w:val="26"/>
        </w:rPr>
        <w:t>s</w:t>
      </w:r>
      <w:r w:rsidR="00F21E54" w:rsidRPr="007B4F95">
        <w:rPr>
          <w:rFonts w:asciiTheme="minorHAnsi" w:hAnsiTheme="minorHAnsi"/>
          <w:b/>
          <w:bCs/>
          <w:sz w:val="26"/>
          <w:szCs w:val="26"/>
        </w:rPr>
        <w:t>elec</w:t>
      </w:r>
      <w:r w:rsidR="005D11A2" w:rsidRPr="007B4F95">
        <w:rPr>
          <w:rFonts w:asciiTheme="minorHAnsi" w:hAnsiTheme="minorHAnsi"/>
          <w:b/>
          <w:bCs/>
          <w:sz w:val="26"/>
          <w:szCs w:val="26"/>
        </w:rPr>
        <w:t>tion</w:t>
      </w:r>
    </w:p>
    <w:p w14:paraId="7FD958D3" w14:textId="77777777" w:rsidR="001F783C" w:rsidRPr="001F783C" w:rsidRDefault="001F783C" w:rsidP="001F783C">
      <w:pPr>
        <w:rPr>
          <w:lang w:eastAsia="en-US"/>
        </w:rPr>
      </w:pPr>
    </w:p>
    <w:p w14:paraId="766553FF" w14:textId="5D9B49E7" w:rsidR="00F21E54" w:rsidRDefault="00F21E54" w:rsidP="00DF2648">
      <w:pPr>
        <w:spacing w:line="360" w:lineRule="auto"/>
        <w:jc w:val="both"/>
        <w:rPr>
          <w:rFonts w:asciiTheme="minorHAnsi" w:eastAsiaTheme="minorHAnsi" w:hAnsiTheme="minorHAnsi" w:cstheme="minorHAnsi"/>
        </w:rPr>
      </w:pPr>
      <w:r w:rsidRPr="00DF2648">
        <w:rPr>
          <w:rFonts w:asciiTheme="minorHAnsi" w:eastAsiaTheme="minorHAnsi" w:hAnsiTheme="minorHAnsi" w:cstheme="minorHAnsi"/>
        </w:rPr>
        <w:t>The research design is based on in-depth case studies of five major U</w:t>
      </w:r>
      <w:r w:rsidR="00FD30EC">
        <w:rPr>
          <w:rFonts w:asciiTheme="minorHAnsi" w:eastAsiaTheme="minorHAnsi" w:hAnsiTheme="minorHAnsi" w:cstheme="minorHAnsi"/>
        </w:rPr>
        <w:t>K cities</w:t>
      </w:r>
      <w:r w:rsidRPr="00DF2648">
        <w:rPr>
          <w:rFonts w:asciiTheme="minorHAnsi" w:eastAsiaTheme="minorHAnsi" w:hAnsiTheme="minorHAnsi" w:cstheme="minorHAnsi"/>
        </w:rPr>
        <w:t>: Edinburgh, Glasgow, Hull, Liverpool and Nottingham</w:t>
      </w:r>
      <w:r w:rsidR="00F40858">
        <w:rPr>
          <w:rFonts w:asciiTheme="minorHAnsi" w:eastAsiaTheme="minorHAnsi" w:hAnsiTheme="minorHAnsi" w:cstheme="minorHAnsi"/>
        </w:rPr>
        <w:t xml:space="preserve"> (See Figure 1 for their location within the UK)</w:t>
      </w:r>
      <w:r w:rsidRPr="00DF2648">
        <w:rPr>
          <w:rFonts w:asciiTheme="minorHAnsi" w:eastAsiaTheme="minorHAnsi" w:hAnsiTheme="minorHAnsi" w:cstheme="minorHAnsi"/>
        </w:rPr>
        <w:t xml:space="preserve">. </w:t>
      </w:r>
      <w:r w:rsidR="00233862">
        <w:rPr>
          <w:rFonts w:asciiTheme="minorHAnsi" w:eastAsiaTheme="minorHAnsi" w:hAnsiTheme="minorHAnsi" w:cstheme="minorHAnsi"/>
        </w:rPr>
        <w:t xml:space="preserve">Typically cities, despite our lack of understanding of the spatial processes at play within these significant </w:t>
      </w:r>
      <w:r w:rsidR="00A31097">
        <w:rPr>
          <w:rFonts w:asciiTheme="minorHAnsi" w:eastAsiaTheme="minorHAnsi" w:hAnsiTheme="minorHAnsi" w:cstheme="minorHAnsi"/>
        </w:rPr>
        <w:t xml:space="preserve">drivers of </w:t>
      </w:r>
      <w:r w:rsidR="00233862">
        <w:rPr>
          <w:rFonts w:asciiTheme="minorHAnsi" w:eastAsiaTheme="minorHAnsi" w:hAnsiTheme="minorHAnsi" w:cstheme="minorHAnsi"/>
        </w:rPr>
        <w:t xml:space="preserve">urban system </w:t>
      </w:r>
      <w:r w:rsidR="00A31097">
        <w:rPr>
          <w:rFonts w:asciiTheme="minorHAnsi" w:eastAsiaTheme="minorHAnsi" w:hAnsiTheme="minorHAnsi" w:cstheme="minorHAnsi"/>
        </w:rPr>
        <w:t>dynamics</w:t>
      </w:r>
      <w:r w:rsidR="00233862">
        <w:rPr>
          <w:rFonts w:asciiTheme="minorHAnsi" w:eastAsiaTheme="minorHAnsi" w:hAnsiTheme="minorHAnsi" w:cstheme="minorHAnsi"/>
        </w:rPr>
        <w:t>, have been neglected in the ongoing High Street debate with much of the attention being on declining town centres.</w:t>
      </w:r>
      <w:r w:rsidR="00F56624">
        <w:rPr>
          <w:rFonts w:asciiTheme="minorHAnsi" w:eastAsiaTheme="minorHAnsi" w:hAnsiTheme="minorHAnsi" w:cstheme="minorHAnsi"/>
        </w:rPr>
        <w:t xml:space="preserve"> </w:t>
      </w:r>
      <w:r w:rsidRPr="00DF2648">
        <w:rPr>
          <w:rFonts w:asciiTheme="minorHAnsi" w:eastAsiaTheme="minorHAnsi" w:hAnsiTheme="minorHAnsi" w:cstheme="minorHAnsi"/>
        </w:rPr>
        <w:t xml:space="preserve">Focusing on these large cities reflects the pre-dominant focus of private sector investor activity, while the northern sample ensures that the </w:t>
      </w:r>
      <w:r w:rsidRPr="00DF2648">
        <w:rPr>
          <w:rFonts w:asciiTheme="minorHAnsi" w:eastAsiaTheme="minorHAnsi" w:hAnsiTheme="minorHAnsi" w:cstheme="minorHAnsi"/>
        </w:rPr>
        <w:lastRenderedPageBreak/>
        <w:t xml:space="preserve">analyses control for north-south economic imbalances, which Wrigley and </w:t>
      </w:r>
      <w:proofErr w:type="spellStart"/>
      <w:r w:rsidRPr="00DF2648">
        <w:rPr>
          <w:rFonts w:asciiTheme="minorHAnsi" w:eastAsiaTheme="minorHAnsi" w:hAnsiTheme="minorHAnsi" w:cstheme="minorHAnsi"/>
        </w:rPr>
        <w:t>Dolega</w:t>
      </w:r>
      <w:proofErr w:type="spellEnd"/>
      <w:r w:rsidRPr="00DF2648">
        <w:rPr>
          <w:rFonts w:asciiTheme="minorHAnsi" w:eastAsiaTheme="minorHAnsi" w:hAnsiTheme="minorHAnsi" w:cstheme="minorHAnsi"/>
        </w:rPr>
        <w:t xml:space="preserve"> (2011) found influential on the resilience of retailing centres. The contrasts between the cities will permit investigation into the urban renewal processes in distinctive cities. The exclusion of London reflects its unique scale, complexity and research challenges, including a retail core comprising a series of distinct but linked centres; its position as a leading global destination and its socio-economic and demographic work/live/visit profile.</w:t>
      </w:r>
    </w:p>
    <w:p w14:paraId="79EF5C9E" w14:textId="77777777" w:rsidR="007B011A" w:rsidRDefault="007B011A" w:rsidP="00DF2648">
      <w:pPr>
        <w:spacing w:line="360" w:lineRule="auto"/>
        <w:jc w:val="both"/>
        <w:rPr>
          <w:rFonts w:asciiTheme="minorHAnsi" w:eastAsiaTheme="minorHAnsi" w:hAnsiTheme="minorHAnsi" w:cstheme="minorHAnsi"/>
        </w:rPr>
      </w:pPr>
    </w:p>
    <w:p w14:paraId="5696A8B1" w14:textId="22D4E54A" w:rsidR="00F40858" w:rsidRPr="00F40858" w:rsidRDefault="00F40858" w:rsidP="00DF2648">
      <w:pPr>
        <w:spacing w:line="360" w:lineRule="auto"/>
        <w:jc w:val="both"/>
        <w:rPr>
          <w:rFonts w:asciiTheme="minorHAnsi" w:eastAsiaTheme="minorHAnsi" w:hAnsiTheme="minorHAnsi" w:cstheme="minorHAnsi"/>
          <w:b/>
          <w:bCs/>
        </w:rPr>
      </w:pPr>
      <w:r w:rsidRPr="00F40858">
        <w:rPr>
          <w:rFonts w:asciiTheme="minorHAnsi" w:eastAsiaTheme="minorHAnsi" w:hAnsiTheme="minorHAnsi" w:cstheme="minorHAnsi"/>
          <w:b/>
          <w:bCs/>
        </w:rPr>
        <w:t xml:space="preserve">Figure 1.  Case </w:t>
      </w:r>
      <w:r w:rsidR="007B011A">
        <w:rPr>
          <w:rFonts w:asciiTheme="minorHAnsi" w:eastAsiaTheme="minorHAnsi" w:hAnsiTheme="minorHAnsi" w:cstheme="minorHAnsi"/>
          <w:b/>
          <w:bCs/>
        </w:rPr>
        <w:t>S</w:t>
      </w:r>
      <w:r w:rsidRPr="00F40858">
        <w:rPr>
          <w:rFonts w:asciiTheme="minorHAnsi" w:eastAsiaTheme="minorHAnsi" w:hAnsiTheme="minorHAnsi" w:cstheme="minorHAnsi"/>
          <w:b/>
          <w:bCs/>
        </w:rPr>
        <w:t>tudy Cities</w:t>
      </w:r>
    </w:p>
    <w:p w14:paraId="5DD28BAE" w14:textId="77777777" w:rsidR="00F40858" w:rsidRPr="00DF2648" w:rsidRDefault="00F40858" w:rsidP="00DF2648">
      <w:pPr>
        <w:spacing w:line="360" w:lineRule="auto"/>
        <w:jc w:val="both"/>
        <w:rPr>
          <w:rFonts w:asciiTheme="minorHAnsi" w:eastAsiaTheme="minorHAnsi" w:hAnsiTheme="minorHAnsi" w:cstheme="minorHAnsi"/>
        </w:rPr>
      </w:pPr>
      <w:r>
        <w:rPr>
          <w:rFonts w:asciiTheme="minorHAnsi" w:eastAsiaTheme="minorHAnsi" w:hAnsiTheme="minorHAnsi" w:cstheme="minorHAnsi"/>
          <w:noProof/>
        </w:rPr>
        <w:drawing>
          <wp:inline distT="0" distB="0" distL="0" distR="0" wp14:anchorId="4C7F138E" wp14:editId="13C10B29">
            <wp:extent cx="2491137" cy="2717965"/>
            <wp:effectExtent l="38100" t="38100" r="36195" b="38100"/>
            <wp:docPr id="552" name="Picture 55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Picture 552" descr="Map&#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4866" cy="2754765"/>
                    </a:xfrm>
                    <a:prstGeom prst="rect">
                      <a:avLst/>
                    </a:prstGeom>
                    <a:ln w="31750">
                      <a:solidFill>
                        <a:schemeClr val="accent1">
                          <a:lumMod val="60000"/>
                          <a:lumOff val="40000"/>
                        </a:schemeClr>
                      </a:solidFill>
                    </a:ln>
                  </pic:spPr>
                </pic:pic>
              </a:graphicData>
            </a:graphic>
          </wp:inline>
        </w:drawing>
      </w:r>
    </w:p>
    <w:p w14:paraId="6C66DE68" w14:textId="77777777" w:rsidR="00673CA6" w:rsidRDefault="00673CA6" w:rsidP="00DF2648">
      <w:pPr>
        <w:spacing w:line="360" w:lineRule="auto"/>
        <w:jc w:val="both"/>
        <w:rPr>
          <w:rFonts w:asciiTheme="minorHAnsi" w:eastAsiaTheme="minorHAnsi" w:hAnsiTheme="minorHAnsi" w:cstheme="minorHAnsi"/>
        </w:rPr>
      </w:pPr>
    </w:p>
    <w:p w14:paraId="48F9C22B" w14:textId="7C8E4855" w:rsidR="005D11A2" w:rsidRPr="00DF2648" w:rsidRDefault="00F21E54" w:rsidP="00DF2648">
      <w:pPr>
        <w:spacing w:line="360" w:lineRule="auto"/>
        <w:jc w:val="both"/>
        <w:rPr>
          <w:rFonts w:asciiTheme="minorHAnsi" w:eastAsiaTheme="minorHAnsi" w:hAnsiTheme="minorHAnsi" w:cstheme="minorHAnsi"/>
        </w:rPr>
      </w:pPr>
      <w:r w:rsidRPr="00DF2648">
        <w:rPr>
          <w:rFonts w:asciiTheme="minorHAnsi" w:eastAsiaTheme="minorHAnsi" w:hAnsiTheme="minorHAnsi" w:cstheme="minorHAnsi"/>
        </w:rPr>
        <w:t>To begin to explore the contrasts between the cities, categorisations and rankings provide a useful starting point. Published categorisations of retail centres have varied significantly, as have the underlying data used to categorise centres, making time</w:t>
      </w:r>
      <w:r w:rsidR="00673CA6">
        <w:rPr>
          <w:rFonts w:asciiTheme="minorHAnsi" w:eastAsiaTheme="minorHAnsi" w:hAnsiTheme="minorHAnsi" w:cstheme="minorHAnsi"/>
        </w:rPr>
        <w:t xml:space="preserve"> </w:t>
      </w:r>
      <w:r w:rsidRPr="00DF2648">
        <w:rPr>
          <w:rFonts w:asciiTheme="minorHAnsi" w:eastAsiaTheme="minorHAnsi" w:hAnsiTheme="minorHAnsi" w:cstheme="minorHAnsi"/>
        </w:rPr>
        <w:t>series exploration and analysis of the centres a little difficult. None span a comprehensive time series, hindering exploration and analysis.</w:t>
      </w:r>
    </w:p>
    <w:p w14:paraId="3A62AAE3" w14:textId="77777777" w:rsidR="005D11A2" w:rsidRPr="00DF2648" w:rsidRDefault="005D11A2" w:rsidP="00DF2648">
      <w:pPr>
        <w:spacing w:line="360" w:lineRule="auto"/>
        <w:jc w:val="both"/>
        <w:rPr>
          <w:rFonts w:asciiTheme="minorHAnsi" w:eastAsiaTheme="minorHAnsi" w:hAnsiTheme="minorHAnsi" w:cstheme="minorHAnsi"/>
        </w:rPr>
      </w:pPr>
    </w:p>
    <w:p w14:paraId="285457D9" w14:textId="17531359" w:rsidR="00F21E54" w:rsidRPr="00DF2648" w:rsidRDefault="00374949" w:rsidP="00DF2648">
      <w:pPr>
        <w:spacing w:line="360" w:lineRule="auto"/>
        <w:jc w:val="both"/>
        <w:rPr>
          <w:rFonts w:asciiTheme="minorHAnsi" w:eastAsiaTheme="minorHAnsi" w:hAnsiTheme="minorHAnsi" w:cstheme="minorHAnsi"/>
        </w:rPr>
      </w:pPr>
      <w:r>
        <w:rPr>
          <w:rFonts w:asciiTheme="minorHAnsi" w:eastAsiaTheme="minorHAnsi" w:hAnsiTheme="minorHAnsi" w:cstheme="minorHAnsi"/>
        </w:rPr>
        <w:t>O</w:t>
      </w:r>
      <w:r w:rsidR="00F21E54" w:rsidRPr="00DF2648">
        <w:rPr>
          <w:rFonts w:asciiTheme="minorHAnsi" w:eastAsiaTheme="minorHAnsi" w:hAnsiTheme="minorHAnsi" w:cstheme="minorHAnsi"/>
        </w:rPr>
        <w:t>ne of the earliest categorisations still referred to</w:t>
      </w:r>
      <w:r w:rsidR="008B75C9" w:rsidRPr="00DF2648">
        <w:rPr>
          <w:rFonts w:asciiTheme="minorHAnsi" w:eastAsiaTheme="minorHAnsi" w:hAnsiTheme="minorHAnsi" w:cstheme="minorHAnsi"/>
        </w:rPr>
        <w:t xml:space="preserve"> and based on the hierarchical system originally set out by Berry (1963</w:t>
      </w:r>
      <w:r w:rsidR="00596626">
        <w:rPr>
          <w:rFonts w:asciiTheme="minorHAnsi" w:eastAsiaTheme="minorHAnsi" w:hAnsiTheme="minorHAnsi" w:cstheme="minorHAnsi"/>
        </w:rPr>
        <w:t>)</w:t>
      </w:r>
      <w:r w:rsidR="00F21E54" w:rsidRPr="00DF2648">
        <w:rPr>
          <w:rFonts w:asciiTheme="minorHAnsi" w:eastAsiaTheme="minorHAnsi" w:hAnsiTheme="minorHAnsi" w:cstheme="minorHAnsi"/>
        </w:rPr>
        <w:t xml:space="preserve">, </w:t>
      </w:r>
      <w:r w:rsidR="00FD30EC">
        <w:rPr>
          <w:rFonts w:asciiTheme="minorHAnsi" w:eastAsiaTheme="minorHAnsi" w:hAnsiTheme="minorHAnsi" w:cstheme="minorHAnsi"/>
        </w:rPr>
        <w:t xml:space="preserve">used </w:t>
      </w:r>
      <w:r w:rsidR="000448A1" w:rsidRPr="00DF2648">
        <w:rPr>
          <w:rFonts w:asciiTheme="minorHAnsi" w:eastAsiaTheme="minorHAnsi" w:hAnsiTheme="minorHAnsi" w:cstheme="minorHAnsi"/>
        </w:rPr>
        <w:t>multiple retailer count scores to group retailing centres on functionality and classifie</w:t>
      </w:r>
      <w:r w:rsidR="00FD30EC">
        <w:rPr>
          <w:rFonts w:asciiTheme="minorHAnsi" w:eastAsiaTheme="minorHAnsi" w:hAnsiTheme="minorHAnsi" w:cstheme="minorHAnsi"/>
        </w:rPr>
        <w:t>d</w:t>
      </w:r>
      <w:r w:rsidR="000448A1" w:rsidRPr="00DF2648">
        <w:rPr>
          <w:rFonts w:asciiTheme="minorHAnsi" w:eastAsiaTheme="minorHAnsi" w:hAnsiTheme="minorHAnsi" w:cstheme="minorHAnsi"/>
        </w:rPr>
        <w:t xml:space="preserve"> Glasgow, Edinburgh and </w:t>
      </w:r>
      <w:r w:rsidR="008B75C9" w:rsidRPr="00DF2648">
        <w:rPr>
          <w:rFonts w:asciiTheme="minorHAnsi" w:eastAsiaTheme="minorHAnsi" w:hAnsiTheme="minorHAnsi" w:cstheme="minorHAnsi"/>
        </w:rPr>
        <w:t>Liverpool</w:t>
      </w:r>
      <w:r w:rsidR="000448A1" w:rsidRPr="00DF2648">
        <w:rPr>
          <w:rFonts w:asciiTheme="minorHAnsi" w:eastAsiaTheme="minorHAnsi" w:hAnsiTheme="minorHAnsi" w:cstheme="minorHAnsi"/>
        </w:rPr>
        <w:t xml:space="preserve"> as three of six “Metropolitan Centres” and </w:t>
      </w:r>
      <w:r w:rsidR="008B75C9" w:rsidRPr="00DF2648">
        <w:rPr>
          <w:rFonts w:asciiTheme="minorHAnsi" w:eastAsiaTheme="minorHAnsi" w:hAnsiTheme="minorHAnsi" w:cstheme="minorHAnsi"/>
        </w:rPr>
        <w:t xml:space="preserve">Nottingham and Hull as “Major Regional Centres” in </w:t>
      </w:r>
      <w:r w:rsidR="00F21E54" w:rsidRPr="00DF2648">
        <w:rPr>
          <w:rFonts w:asciiTheme="minorHAnsi" w:eastAsiaTheme="minorHAnsi" w:hAnsiTheme="minorHAnsi" w:cstheme="minorHAnsi"/>
        </w:rPr>
        <w:t>1961</w:t>
      </w:r>
      <w:r w:rsidR="008B75C9" w:rsidRPr="00DF2648">
        <w:rPr>
          <w:rFonts w:asciiTheme="minorHAnsi" w:eastAsiaTheme="minorHAnsi" w:hAnsiTheme="minorHAnsi" w:cstheme="minorHAnsi"/>
        </w:rPr>
        <w:t xml:space="preserve">. </w:t>
      </w:r>
      <w:r w:rsidR="00F21E54" w:rsidRPr="00DF2648">
        <w:rPr>
          <w:rFonts w:asciiTheme="minorHAnsi" w:eastAsiaTheme="minorHAnsi" w:hAnsiTheme="minorHAnsi" w:cstheme="minorHAnsi"/>
        </w:rPr>
        <w:t xml:space="preserve">From this base, over time the standings have varied for some and been stable for others and this is explored below. This exploration provides two things. Firstly, it provides justification for their selection for this study, setting out some of their characteristics, which sometimes overlap and sometimes differ, thus </w:t>
      </w:r>
      <w:r w:rsidR="00F21E54" w:rsidRPr="00DF2648">
        <w:rPr>
          <w:rFonts w:asciiTheme="minorHAnsi" w:eastAsiaTheme="minorHAnsi" w:hAnsiTheme="minorHAnsi" w:cstheme="minorHAnsi"/>
        </w:rPr>
        <w:lastRenderedPageBreak/>
        <w:t xml:space="preserve">seeking to maximise the applicability of the results generated throughout the study. Secondly, it provides some context for the findings that the study generates and helps to contextualise these and the resulting conclusions. Overall, while all the centres are ‘northern’ provincial centres, they have different economic structures and processes of renewal that have given rise to the range of fortunes that can be seen over the last </w:t>
      </w:r>
      <w:r w:rsidR="008B75C9" w:rsidRPr="00DF2648">
        <w:rPr>
          <w:rFonts w:asciiTheme="minorHAnsi" w:eastAsiaTheme="minorHAnsi" w:hAnsiTheme="minorHAnsi" w:cstheme="minorHAnsi"/>
        </w:rPr>
        <w:t xml:space="preserve">three </w:t>
      </w:r>
      <w:r w:rsidR="00F21E54" w:rsidRPr="00DF2648">
        <w:rPr>
          <w:rFonts w:asciiTheme="minorHAnsi" w:eastAsiaTheme="minorHAnsi" w:hAnsiTheme="minorHAnsi" w:cstheme="minorHAnsi"/>
        </w:rPr>
        <w:t>decades (Reynolds and Schiller, 1992; Harper Dennis Hobbs, 2016). The exploration that follows is not limited to the study period itself, but spans a far wider period to provide a robust context.</w:t>
      </w:r>
    </w:p>
    <w:p w14:paraId="49814798" w14:textId="0E30B67C" w:rsidR="00F40858" w:rsidRDefault="00F40858">
      <w:pPr>
        <w:spacing w:after="200" w:line="276" w:lineRule="auto"/>
        <w:rPr>
          <w:rFonts w:asciiTheme="minorHAnsi" w:eastAsiaTheme="minorHAnsi" w:hAnsiTheme="minorHAnsi" w:cstheme="minorHAnsi"/>
          <w:b/>
          <w:bCs/>
        </w:rPr>
      </w:pPr>
    </w:p>
    <w:p w14:paraId="5BC56278" w14:textId="0C255230" w:rsidR="00F21E54" w:rsidRPr="00CC6E40" w:rsidRDefault="00F21E54" w:rsidP="00DF2648">
      <w:pPr>
        <w:spacing w:line="360" w:lineRule="auto"/>
        <w:rPr>
          <w:rFonts w:asciiTheme="minorHAnsi" w:eastAsiaTheme="minorHAnsi" w:hAnsiTheme="minorHAnsi" w:cstheme="minorHAnsi"/>
          <w:b/>
          <w:bCs/>
        </w:rPr>
      </w:pPr>
      <w:r w:rsidRPr="00CC6E40">
        <w:rPr>
          <w:rFonts w:asciiTheme="minorHAnsi" w:eastAsiaTheme="minorHAnsi" w:hAnsiTheme="minorHAnsi" w:cstheme="minorHAnsi"/>
          <w:b/>
          <w:bCs/>
        </w:rPr>
        <w:t xml:space="preserve">Figure </w:t>
      </w:r>
      <w:r w:rsidR="00F40858">
        <w:rPr>
          <w:rFonts w:asciiTheme="minorHAnsi" w:eastAsiaTheme="minorHAnsi" w:hAnsiTheme="minorHAnsi" w:cstheme="minorHAnsi"/>
          <w:b/>
          <w:bCs/>
        </w:rPr>
        <w:t>2</w:t>
      </w:r>
      <w:r w:rsidR="00CC6E40" w:rsidRPr="00CC6E40">
        <w:rPr>
          <w:rFonts w:asciiTheme="minorHAnsi" w:eastAsiaTheme="minorHAnsi" w:hAnsiTheme="minorHAnsi" w:cstheme="minorHAnsi"/>
          <w:b/>
          <w:bCs/>
        </w:rPr>
        <w:t xml:space="preserve">. </w:t>
      </w:r>
      <w:r w:rsidRPr="00CC6E40">
        <w:rPr>
          <w:rFonts w:asciiTheme="minorHAnsi" w:eastAsiaTheme="minorHAnsi" w:hAnsiTheme="minorHAnsi" w:cstheme="minorHAnsi"/>
          <w:b/>
          <w:bCs/>
        </w:rPr>
        <w:t>Relative Rankings, based on MBS: 1961, 1971, 1984, 1989 and 1995</w:t>
      </w:r>
    </w:p>
    <w:p w14:paraId="3E5F6EE9" w14:textId="77777777" w:rsidR="00F21E54" w:rsidRPr="00DF2648" w:rsidRDefault="00F21E54" w:rsidP="00DF2648">
      <w:pPr>
        <w:spacing w:line="360" w:lineRule="auto"/>
        <w:rPr>
          <w:rFonts w:asciiTheme="minorHAnsi" w:eastAsiaTheme="minorHAnsi" w:hAnsiTheme="minorHAnsi" w:cstheme="minorHAnsi"/>
        </w:rPr>
      </w:pPr>
      <w:r w:rsidRPr="00DF2648">
        <w:rPr>
          <w:rFonts w:asciiTheme="minorHAnsi" w:eastAsiaTheme="minorHAnsi" w:hAnsiTheme="minorHAnsi" w:cstheme="minorHAnsi"/>
          <w:noProof/>
        </w:rPr>
        <w:drawing>
          <wp:inline distT="0" distB="0" distL="0" distR="0" wp14:anchorId="41AAC4B9" wp14:editId="7BEE897D">
            <wp:extent cx="6111350" cy="2986601"/>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E2EA7E6" w14:textId="13FEC79A" w:rsidR="00F21E54" w:rsidRPr="00F46539" w:rsidRDefault="00F21E54" w:rsidP="00CC6E40">
      <w:pPr>
        <w:pStyle w:val="NoSpacing"/>
        <w:rPr>
          <w:sz w:val="20"/>
          <w:szCs w:val="20"/>
        </w:rPr>
      </w:pPr>
      <w:r w:rsidRPr="00F46539">
        <w:rPr>
          <w:sz w:val="20"/>
          <w:szCs w:val="20"/>
        </w:rPr>
        <w:t>Source: compiled from Schiller and Jarrett (1985), Reynolds and Schiller (1992), Hiller Parker (1996)</w:t>
      </w:r>
      <w:r w:rsidR="00F46539" w:rsidRPr="00F46539">
        <w:rPr>
          <w:sz w:val="20"/>
          <w:szCs w:val="20"/>
        </w:rPr>
        <w:t>.</w:t>
      </w:r>
    </w:p>
    <w:p w14:paraId="0EEC18CB" w14:textId="7DD56386" w:rsidR="00F21E54" w:rsidRDefault="00F21E54" w:rsidP="00DF2648">
      <w:pPr>
        <w:spacing w:line="360" w:lineRule="auto"/>
        <w:rPr>
          <w:rFonts w:asciiTheme="minorHAnsi" w:eastAsiaTheme="minorHAnsi" w:hAnsiTheme="minorHAnsi" w:cstheme="minorHAnsi"/>
        </w:rPr>
      </w:pPr>
    </w:p>
    <w:p w14:paraId="100C6E9D" w14:textId="75D8AA00" w:rsidR="007B011A" w:rsidRDefault="007B011A" w:rsidP="007B011A">
      <w:pPr>
        <w:spacing w:line="360" w:lineRule="auto"/>
        <w:jc w:val="both"/>
        <w:rPr>
          <w:rFonts w:asciiTheme="minorHAnsi" w:eastAsiaTheme="minorHAnsi" w:hAnsiTheme="minorHAnsi" w:cstheme="minorHAnsi"/>
        </w:rPr>
      </w:pPr>
      <w:r w:rsidRPr="00DF2648">
        <w:rPr>
          <w:rFonts w:asciiTheme="minorHAnsi" w:eastAsiaTheme="minorHAnsi" w:hAnsiTheme="minorHAnsi" w:cstheme="minorHAnsi"/>
        </w:rPr>
        <w:t>One of the high</w:t>
      </w:r>
      <w:r>
        <w:rPr>
          <w:rFonts w:asciiTheme="minorHAnsi" w:eastAsiaTheme="minorHAnsi" w:hAnsiTheme="minorHAnsi" w:cstheme="minorHAnsi"/>
        </w:rPr>
        <w:t>est</w:t>
      </w:r>
      <w:r w:rsidRPr="00DF2648">
        <w:rPr>
          <w:rFonts w:asciiTheme="minorHAnsi" w:eastAsiaTheme="minorHAnsi" w:hAnsiTheme="minorHAnsi" w:cstheme="minorHAnsi"/>
        </w:rPr>
        <w:t xml:space="preserve"> profile (and long standing) rankings of retail centres relied on the Multiple Branch Score (MBS) for each centre, developed by Schiller and Jarrett (1985) and updated by Reynolds and Schiller (1992) and Hiller Parker (1996). Exploring this first, the two Scottish centres – Edinburgh and Glasgow – appear similar initially as shown in Figure </w:t>
      </w:r>
      <w:r>
        <w:rPr>
          <w:rFonts w:asciiTheme="minorHAnsi" w:eastAsiaTheme="minorHAnsi" w:hAnsiTheme="minorHAnsi" w:cstheme="minorHAnsi"/>
        </w:rPr>
        <w:t>2</w:t>
      </w:r>
      <w:r w:rsidRPr="00DF2648">
        <w:rPr>
          <w:rFonts w:asciiTheme="minorHAnsi" w:eastAsiaTheme="minorHAnsi" w:hAnsiTheme="minorHAnsi" w:cstheme="minorHAnsi"/>
        </w:rPr>
        <w:t xml:space="preserve">, with high and consistent rankings. However, the MBS data underpinning the rankings, as shown in </w:t>
      </w:r>
      <w:r>
        <w:rPr>
          <w:rFonts w:asciiTheme="minorHAnsi" w:eastAsiaTheme="minorHAnsi" w:hAnsiTheme="minorHAnsi" w:cstheme="minorHAnsi"/>
        </w:rPr>
        <w:t>Figure</w:t>
      </w:r>
      <w:r w:rsidRPr="00DF2648">
        <w:rPr>
          <w:rFonts w:asciiTheme="minorHAnsi" w:eastAsiaTheme="minorHAnsi" w:hAnsiTheme="minorHAnsi" w:cstheme="minorHAnsi"/>
        </w:rPr>
        <w:t xml:space="preserve"> </w:t>
      </w:r>
      <w:r>
        <w:rPr>
          <w:rFonts w:asciiTheme="minorHAnsi" w:eastAsiaTheme="minorHAnsi" w:hAnsiTheme="minorHAnsi" w:cstheme="minorHAnsi"/>
        </w:rPr>
        <w:t>3(a)</w:t>
      </w:r>
      <w:r w:rsidRPr="00DF2648">
        <w:rPr>
          <w:rFonts w:asciiTheme="minorHAnsi" w:eastAsiaTheme="minorHAnsi" w:hAnsiTheme="minorHAnsi" w:cstheme="minorHAnsi"/>
        </w:rPr>
        <w:t>, show different trajectories over the last three rankings produced (data for the earlier periods are not available). The MBS scores show high and consistent growth for Glasgow (increases of around 30-40% between each census period), while Edinburgh was much slower to grow initially (a growth rate of just over 10% initially), before then showing the same high growth rate. Despite the MBS scores for both centres growing by over 30% from 1989 to 1995, their rankings do not change.</w:t>
      </w:r>
    </w:p>
    <w:p w14:paraId="2EFAF8FD" w14:textId="77777777" w:rsidR="007B011A" w:rsidRPr="00DF2648" w:rsidRDefault="007B011A" w:rsidP="00741EEC">
      <w:pPr>
        <w:spacing w:line="360" w:lineRule="auto"/>
        <w:jc w:val="both"/>
        <w:rPr>
          <w:rFonts w:asciiTheme="minorHAnsi" w:eastAsiaTheme="minorHAnsi" w:hAnsiTheme="minorHAnsi" w:cstheme="minorHAnsi"/>
        </w:rPr>
      </w:pPr>
    </w:p>
    <w:tbl>
      <w:tblPr>
        <w:tblW w:w="0" w:type="auto"/>
        <w:tblLook w:val="04A0" w:firstRow="1" w:lastRow="0" w:firstColumn="1" w:lastColumn="0" w:noHBand="0" w:noVBand="1"/>
      </w:tblPr>
      <w:tblGrid>
        <w:gridCol w:w="4643"/>
        <w:gridCol w:w="4649"/>
      </w:tblGrid>
      <w:tr w:rsidR="00F21E54" w:rsidRPr="00DF2648" w14:paraId="4F617969" w14:textId="77777777" w:rsidTr="005D11A2">
        <w:tc>
          <w:tcPr>
            <w:tcW w:w="9242" w:type="dxa"/>
            <w:gridSpan w:val="2"/>
          </w:tcPr>
          <w:p w14:paraId="7FBEA233" w14:textId="0AD813B4" w:rsidR="00210D95" w:rsidRPr="00CC6E40" w:rsidRDefault="00DF2648" w:rsidP="00DF2648">
            <w:pPr>
              <w:spacing w:line="360" w:lineRule="auto"/>
              <w:rPr>
                <w:rFonts w:asciiTheme="minorHAnsi" w:eastAsiaTheme="minorHAnsi" w:hAnsiTheme="minorHAnsi" w:cstheme="minorHAnsi"/>
                <w:b/>
                <w:bCs/>
              </w:rPr>
            </w:pPr>
            <w:bookmarkStart w:id="1" w:name="OLE_LINK2"/>
            <w:r w:rsidRPr="00CC6E40">
              <w:rPr>
                <w:rFonts w:asciiTheme="minorHAnsi" w:eastAsiaTheme="minorHAnsi" w:hAnsiTheme="minorHAnsi" w:cstheme="minorHAnsi"/>
                <w:b/>
                <w:bCs/>
              </w:rPr>
              <w:lastRenderedPageBreak/>
              <w:t>Figure</w:t>
            </w:r>
            <w:r w:rsidR="00F21E54" w:rsidRPr="00CC6E40">
              <w:rPr>
                <w:rFonts w:asciiTheme="minorHAnsi" w:eastAsiaTheme="minorHAnsi" w:hAnsiTheme="minorHAnsi" w:cstheme="minorHAnsi"/>
                <w:b/>
                <w:bCs/>
              </w:rPr>
              <w:t xml:space="preserve"> </w:t>
            </w:r>
            <w:r w:rsidR="00F40858">
              <w:rPr>
                <w:rFonts w:asciiTheme="minorHAnsi" w:eastAsiaTheme="minorHAnsi" w:hAnsiTheme="minorHAnsi" w:cstheme="minorHAnsi"/>
                <w:b/>
                <w:bCs/>
              </w:rPr>
              <w:t>3</w:t>
            </w:r>
            <w:r w:rsidR="00CC6E40">
              <w:rPr>
                <w:rFonts w:asciiTheme="minorHAnsi" w:eastAsiaTheme="minorHAnsi" w:hAnsiTheme="minorHAnsi" w:cstheme="minorHAnsi"/>
                <w:b/>
                <w:bCs/>
              </w:rPr>
              <w:t>.</w:t>
            </w:r>
            <w:r w:rsidR="00F21E54" w:rsidRPr="00CC6E40">
              <w:rPr>
                <w:rFonts w:asciiTheme="minorHAnsi" w:eastAsiaTheme="minorHAnsi" w:hAnsiTheme="minorHAnsi" w:cstheme="minorHAnsi"/>
                <w:b/>
                <w:bCs/>
              </w:rPr>
              <w:t xml:space="preserve"> </w:t>
            </w:r>
            <w:r w:rsidR="00210D95">
              <w:rPr>
                <w:rFonts w:asciiTheme="minorHAnsi" w:eastAsiaTheme="minorHAnsi" w:hAnsiTheme="minorHAnsi" w:cstheme="minorHAnsi"/>
                <w:b/>
                <w:bCs/>
              </w:rPr>
              <w:t xml:space="preserve"> </w:t>
            </w:r>
            <w:r w:rsidR="00F21E54" w:rsidRPr="00CC6E40">
              <w:rPr>
                <w:rFonts w:asciiTheme="minorHAnsi" w:eastAsiaTheme="minorHAnsi" w:hAnsiTheme="minorHAnsi" w:cstheme="minorHAnsi"/>
                <w:b/>
                <w:bCs/>
              </w:rPr>
              <w:t xml:space="preserve">Relative </w:t>
            </w:r>
            <w:r w:rsidR="008B0101">
              <w:rPr>
                <w:rFonts w:asciiTheme="minorHAnsi" w:eastAsiaTheme="minorHAnsi" w:hAnsiTheme="minorHAnsi" w:cstheme="minorHAnsi"/>
                <w:b/>
                <w:bCs/>
              </w:rPr>
              <w:t>C</w:t>
            </w:r>
            <w:r w:rsidR="00F21E54" w:rsidRPr="00CC6E40">
              <w:rPr>
                <w:rFonts w:asciiTheme="minorHAnsi" w:eastAsiaTheme="minorHAnsi" w:hAnsiTheme="minorHAnsi" w:cstheme="minorHAnsi"/>
                <w:b/>
                <w:bCs/>
              </w:rPr>
              <w:t xml:space="preserve">hanges in MBS for the Case Study </w:t>
            </w:r>
            <w:r w:rsidR="008B0101">
              <w:rPr>
                <w:rFonts w:asciiTheme="minorHAnsi" w:eastAsiaTheme="minorHAnsi" w:hAnsiTheme="minorHAnsi" w:cstheme="minorHAnsi"/>
                <w:b/>
                <w:bCs/>
              </w:rPr>
              <w:t>C</w:t>
            </w:r>
            <w:r w:rsidR="00F21E54" w:rsidRPr="00CC6E40">
              <w:rPr>
                <w:rFonts w:asciiTheme="minorHAnsi" w:eastAsiaTheme="minorHAnsi" w:hAnsiTheme="minorHAnsi" w:cstheme="minorHAnsi"/>
                <w:b/>
                <w:bCs/>
              </w:rPr>
              <w:t>ities</w:t>
            </w:r>
          </w:p>
        </w:tc>
      </w:tr>
      <w:tr w:rsidR="00F21E54" w:rsidRPr="00DF2648" w14:paraId="5C0D8EDB" w14:textId="77777777" w:rsidTr="005D11A2">
        <w:tc>
          <w:tcPr>
            <w:tcW w:w="4643" w:type="dxa"/>
          </w:tcPr>
          <w:p w14:paraId="697B86C9" w14:textId="77777777" w:rsidR="00F21E54" w:rsidRPr="00DF2648" w:rsidRDefault="00F21E54" w:rsidP="00DF2648">
            <w:pPr>
              <w:spacing w:line="360" w:lineRule="auto"/>
              <w:rPr>
                <w:rFonts w:asciiTheme="minorHAnsi" w:eastAsiaTheme="minorHAnsi" w:hAnsiTheme="minorHAnsi" w:cstheme="minorHAnsi"/>
              </w:rPr>
            </w:pPr>
            <w:r w:rsidRPr="00DF2648">
              <w:rPr>
                <w:rFonts w:asciiTheme="minorHAnsi" w:eastAsiaTheme="minorHAnsi" w:hAnsiTheme="minorHAnsi" w:cstheme="minorHAnsi"/>
              </w:rPr>
              <w:t>(a) Nominal MBS</w:t>
            </w:r>
          </w:p>
        </w:tc>
        <w:tc>
          <w:tcPr>
            <w:tcW w:w="4599" w:type="dxa"/>
          </w:tcPr>
          <w:p w14:paraId="42EEBE76" w14:textId="77777777" w:rsidR="00F21E54" w:rsidRPr="00DF2648" w:rsidRDefault="00F21E54" w:rsidP="00DF2648">
            <w:pPr>
              <w:spacing w:line="360" w:lineRule="auto"/>
              <w:rPr>
                <w:rFonts w:asciiTheme="minorHAnsi" w:eastAsiaTheme="minorHAnsi" w:hAnsiTheme="minorHAnsi" w:cstheme="minorHAnsi"/>
              </w:rPr>
            </w:pPr>
            <w:r w:rsidRPr="00DF2648">
              <w:rPr>
                <w:rFonts w:asciiTheme="minorHAnsi" w:eastAsiaTheme="minorHAnsi" w:hAnsiTheme="minorHAnsi" w:cstheme="minorHAnsi"/>
              </w:rPr>
              <w:t>(b) Indices, 1984 = 100</w:t>
            </w:r>
          </w:p>
        </w:tc>
      </w:tr>
      <w:tr w:rsidR="00F21E54" w:rsidRPr="00DF2648" w14:paraId="5BB60D8A" w14:textId="77777777" w:rsidTr="005D11A2">
        <w:tc>
          <w:tcPr>
            <w:tcW w:w="4643" w:type="dxa"/>
          </w:tcPr>
          <w:p w14:paraId="0F2E472C" w14:textId="77777777" w:rsidR="00F21E54" w:rsidRPr="00DF2648" w:rsidRDefault="00F21E54" w:rsidP="00DF2648">
            <w:pPr>
              <w:spacing w:line="360" w:lineRule="auto"/>
              <w:ind w:left="-37"/>
              <w:jc w:val="right"/>
              <w:rPr>
                <w:rFonts w:asciiTheme="minorHAnsi" w:eastAsiaTheme="minorHAnsi" w:hAnsiTheme="minorHAnsi" w:cstheme="minorHAnsi"/>
              </w:rPr>
            </w:pPr>
            <w:r w:rsidRPr="00DF2648">
              <w:rPr>
                <w:rFonts w:asciiTheme="minorHAnsi" w:eastAsiaTheme="minorHAnsi" w:hAnsiTheme="minorHAnsi" w:cstheme="minorHAnsi"/>
                <w:noProof/>
              </w:rPr>
              <w:drawing>
                <wp:inline distT="0" distB="0" distL="0" distR="0" wp14:anchorId="5B85B31E" wp14:editId="733A099C">
                  <wp:extent cx="2775006" cy="2289976"/>
                  <wp:effectExtent l="0" t="0" r="25400" b="1524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599" w:type="dxa"/>
          </w:tcPr>
          <w:p w14:paraId="7D6D0DC4" w14:textId="77777777" w:rsidR="00F21E54" w:rsidRPr="00DF2648" w:rsidRDefault="00F21E54" w:rsidP="00DF2648">
            <w:pPr>
              <w:spacing w:line="360" w:lineRule="auto"/>
              <w:ind w:left="-37"/>
              <w:rPr>
                <w:rFonts w:asciiTheme="minorHAnsi" w:eastAsiaTheme="minorHAnsi" w:hAnsiTheme="minorHAnsi" w:cstheme="minorHAnsi"/>
              </w:rPr>
            </w:pPr>
            <w:r w:rsidRPr="00DF2648">
              <w:rPr>
                <w:rFonts w:asciiTheme="minorHAnsi" w:eastAsiaTheme="minorHAnsi" w:hAnsiTheme="minorHAnsi" w:cstheme="minorHAnsi"/>
                <w:noProof/>
              </w:rPr>
              <w:drawing>
                <wp:inline distT="0" distB="0" distL="0" distR="0" wp14:anchorId="23C30F05" wp14:editId="148F8C40">
                  <wp:extent cx="2814761" cy="2289976"/>
                  <wp:effectExtent l="0" t="0" r="24130" b="1524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7232525A" w14:textId="11D52D9F" w:rsidR="00F21E54" w:rsidRPr="00F46539" w:rsidRDefault="00F21E54" w:rsidP="00DF2648">
      <w:pPr>
        <w:pStyle w:val="NoSpacing"/>
        <w:rPr>
          <w:sz w:val="20"/>
          <w:szCs w:val="20"/>
        </w:rPr>
      </w:pPr>
      <w:r w:rsidRPr="00F46539">
        <w:rPr>
          <w:noProof/>
          <w:sz w:val="20"/>
          <w:szCs w:val="20"/>
        </w:rPr>
        <w:t>Source: compiled from Schiller and Jarrett (1985), Reynolds and Schiller (1992), Hiller Parker (1996)</w:t>
      </w:r>
      <w:r w:rsidR="00F46539" w:rsidRPr="00F46539">
        <w:rPr>
          <w:noProof/>
          <w:sz w:val="20"/>
          <w:szCs w:val="20"/>
        </w:rPr>
        <w:t>.</w:t>
      </w:r>
    </w:p>
    <w:bookmarkEnd w:id="1"/>
    <w:p w14:paraId="0F8E4421" w14:textId="77777777" w:rsidR="00F21E54" w:rsidRPr="00DF2648" w:rsidRDefault="00F21E54" w:rsidP="00DF2648">
      <w:pPr>
        <w:spacing w:line="360" w:lineRule="auto"/>
        <w:rPr>
          <w:rFonts w:asciiTheme="minorHAnsi" w:eastAsiaTheme="minorHAnsi" w:hAnsiTheme="minorHAnsi" w:cstheme="minorHAnsi"/>
        </w:rPr>
      </w:pPr>
    </w:p>
    <w:p w14:paraId="299D4CA9" w14:textId="6A63157E" w:rsidR="007B011A" w:rsidRDefault="007B011A" w:rsidP="007B011A">
      <w:pPr>
        <w:spacing w:line="360" w:lineRule="auto"/>
        <w:jc w:val="both"/>
        <w:rPr>
          <w:rFonts w:asciiTheme="minorHAnsi" w:eastAsiaTheme="minorHAnsi" w:hAnsiTheme="minorHAnsi" w:cstheme="minorHAnsi"/>
        </w:rPr>
      </w:pPr>
      <w:r w:rsidRPr="00DF2648">
        <w:rPr>
          <w:rFonts w:asciiTheme="minorHAnsi" w:eastAsiaTheme="minorHAnsi" w:hAnsiTheme="minorHAnsi" w:cstheme="minorHAnsi"/>
        </w:rPr>
        <w:t xml:space="preserve">The three English centres – from west to east: Liverpool, Nottingham and Hull – have highly contrasting MBS rankings, as shown in Figure </w:t>
      </w:r>
      <w:r>
        <w:rPr>
          <w:rFonts w:asciiTheme="minorHAnsi" w:eastAsiaTheme="minorHAnsi" w:hAnsiTheme="minorHAnsi" w:cstheme="minorHAnsi"/>
        </w:rPr>
        <w:t>2</w:t>
      </w:r>
      <w:r w:rsidRPr="00DF2648">
        <w:rPr>
          <w:rFonts w:asciiTheme="minorHAnsi" w:eastAsiaTheme="minorHAnsi" w:hAnsiTheme="minorHAnsi" w:cstheme="minorHAnsi"/>
        </w:rPr>
        <w:t>, with Liverpool falling steadily (from 3 to 17); Nottingham fluctuating but, overall, rising fairly steadily (from 12 in 1971 to 6</w:t>
      </w:r>
      <w:r>
        <w:rPr>
          <w:rFonts w:asciiTheme="minorHAnsi" w:eastAsiaTheme="minorHAnsi" w:hAnsiTheme="minorHAnsi" w:cstheme="minorHAnsi"/>
        </w:rPr>
        <w:t xml:space="preserve"> in 1995</w:t>
      </w:r>
      <w:r w:rsidRPr="00DF2648">
        <w:rPr>
          <w:rFonts w:asciiTheme="minorHAnsi" w:eastAsiaTheme="minorHAnsi" w:hAnsiTheme="minorHAnsi" w:cstheme="minorHAnsi"/>
        </w:rPr>
        <w:t xml:space="preserve">); while Hull shows a huge fall from 13 </w:t>
      </w:r>
      <w:r>
        <w:rPr>
          <w:rFonts w:asciiTheme="minorHAnsi" w:eastAsiaTheme="minorHAnsi" w:hAnsiTheme="minorHAnsi" w:cstheme="minorHAnsi"/>
        </w:rPr>
        <w:t xml:space="preserve">in 1971 </w:t>
      </w:r>
      <w:r w:rsidRPr="00DF2648">
        <w:rPr>
          <w:rFonts w:asciiTheme="minorHAnsi" w:eastAsiaTheme="minorHAnsi" w:hAnsiTheme="minorHAnsi" w:cstheme="minorHAnsi"/>
        </w:rPr>
        <w:t xml:space="preserve">to 33 in 1989, before rising equally dramatically and very quickly to 10 in 1995. Underlying these different fortunes, </w:t>
      </w:r>
      <w:r>
        <w:rPr>
          <w:rFonts w:asciiTheme="minorHAnsi" w:eastAsiaTheme="minorHAnsi" w:hAnsiTheme="minorHAnsi" w:cstheme="minorHAnsi"/>
        </w:rPr>
        <w:t>Figure</w:t>
      </w:r>
      <w:r w:rsidRPr="00DF2648">
        <w:rPr>
          <w:rFonts w:asciiTheme="minorHAnsi" w:eastAsiaTheme="minorHAnsi" w:hAnsiTheme="minorHAnsi" w:cstheme="minorHAnsi"/>
        </w:rPr>
        <w:t xml:space="preserve"> </w:t>
      </w:r>
      <w:r>
        <w:rPr>
          <w:rFonts w:asciiTheme="minorHAnsi" w:eastAsiaTheme="minorHAnsi" w:hAnsiTheme="minorHAnsi" w:cstheme="minorHAnsi"/>
        </w:rPr>
        <w:t>3</w:t>
      </w:r>
      <w:r w:rsidRPr="00DF2648">
        <w:rPr>
          <w:rFonts w:asciiTheme="minorHAnsi" w:eastAsiaTheme="minorHAnsi" w:hAnsiTheme="minorHAnsi" w:cstheme="minorHAnsi"/>
        </w:rPr>
        <w:t xml:space="preserve"> reveals that, like Edinburgh, the MBS for Hull and Nottingham increased by just over 10% between 1984 and 1989, while Liverpool fell (a drop of just one from 71 to 70). However, in the second period, Liverpool regained ground, matching the growth rate of the two Scottish cities, as did Nottingham. The MBS for Hull, by contrast, grew 188%, from 57 to 107. </w:t>
      </w:r>
      <w:r>
        <w:rPr>
          <w:rFonts w:asciiTheme="minorHAnsi" w:eastAsiaTheme="minorHAnsi" w:hAnsiTheme="minorHAnsi" w:cstheme="minorHAnsi"/>
        </w:rPr>
        <w:t>Figure</w:t>
      </w:r>
      <w:r w:rsidRPr="00DF2648">
        <w:rPr>
          <w:rFonts w:asciiTheme="minorHAnsi" w:eastAsiaTheme="minorHAnsi" w:hAnsiTheme="minorHAnsi" w:cstheme="minorHAnsi"/>
        </w:rPr>
        <w:t xml:space="preserve"> </w:t>
      </w:r>
      <w:r>
        <w:rPr>
          <w:rFonts w:asciiTheme="minorHAnsi" w:eastAsiaTheme="minorHAnsi" w:hAnsiTheme="minorHAnsi" w:cstheme="minorHAnsi"/>
        </w:rPr>
        <w:t>3</w:t>
      </w:r>
      <w:r w:rsidRPr="00DF2648">
        <w:rPr>
          <w:rFonts w:asciiTheme="minorHAnsi" w:eastAsiaTheme="minorHAnsi" w:hAnsiTheme="minorHAnsi" w:cstheme="minorHAnsi"/>
        </w:rPr>
        <w:t>(b) shows how much higher this rise was than for any other city in either period.</w:t>
      </w:r>
    </w:p>
    <w:p w14:paraId="06774BA2" w14:textId="77777777" w:rsidR="007B011A" w:rsidRDefault="007B011A" w:rsidP="00DF2648">
      <w:pPr>
        <w:spacing w:line="360" w:lineRule="auto"/>
        <w:jc w:val="both"/>
        <w:rPr>
          <w:rFonts w:asciiTheme="minorHAnsi" w:eastAsiaTheme="minorHAnsi" w:hAnsiTheme="minorHAnsi" w:cstheme="minorHAnsi"/>
        </w:rPr>
      </w:pPr>
    </w:p>
    <w:p w14:paraId="79E458F0" w14:textId="653FB8DD" w:rsidR="00A8380F" w:rsidRPr="00DF2648" w:rsidRDefault="00F21E54" w:rsidP="004E67D8">
      <w:pPr>
        <w:spacing w:line="360" w:lineRule="auto"/>
        <w:jc w:val="both"/>
        <w:rPr>
          <w:rFonts w:asciiTheme="minorHAnsi" w:eastAsiaTheme="minorHAnsi" w:hAnsiTheme="minorHAnsi" w:cstheme="minorHAnsi"/>
        </w:rPr>
      </w:pPr>
      <w:r w:rsidRPr="00DF2648">
        <w:rPr>
          <w:rFonts w:asciiTheme="minorHAnsi" w:eastAsiaTheme="minorHAnsi" w:hAnsiTheme="minorHAnsi" w:cstheme="minorHAnsi"/>
        </w:rPr>
        <w:t>Various other retail rankings are produced by real estate firms, based on metrics such as catchment (for example, CACI’s Retail Footprint gravity model, which is developed using nine different measures, including quality and quantity of retail provision, and bank spending data) and multiple retailers (such as VENUESCORE, a weighted measure produced by the Javelin Group). These are not freely available.</w:t>
      </w:r>
    </w:p>
    <w:p w14:paraId="07A52316" w14:textId="77777777" w:rsidR="004E67D8" w:rsidRDefault="004E67D8">
      <w:pPr>
        <w:spacing w:after="200" w:line="276" w:lineRule="auto"/>
        <w:rPr>
          <w:rFonts w:asciiTheme="minorHAnsi" w:eastAsiaTheme="minorEastAsia" w:hAnsiTheme="minorHAnsi" w:cstheme="minorBidi"/>
          <w:b/>
          <w:bCs/>
          <w:sz w:val="22"/>
          <w:szCs w:val="22"/>
          <w:lang w:eastAsia="en-US"/>
        </w:rPr>
      </w:pPr>
      <w:r>
        <w:rPr>
          <w:b/>
          <w:bCs/>
        </w:rPr>
        <w:br w:type="page"/>
      </w:r>
    </w:p>
    <w:p w14:paraId="1B4BA294" w14:textId="22E6A599" w:rsidR="00A8380F" w:rsidRPr="00CC6E40" w:rsidRDefault="00A8380F" w:rsidP="00CC6E40">
      <w:pPr>
        <w:pStyle w:val="NoSpacing"/>
        <w:rPr>
          <w:b/>
          <w:bCs/>
          <w:noProof/>
        </w:rPr>
      </w:pPr>
      <w:r w:rsidRPr="00CC6E40">
        <w:rPr>
          <w:b/>
          <w:bCs/>
        </w:rPr>
        <w:lastRenderedPageBreak/>
        <w:t>Figure</w:t>
      </w:r>
      <w:r w:rsidR="00CC6E40">
        <w:rPr>
          <w:b/>
          <w:bCs/>
        </w:rPr>
        <w:t xml:space="preserve"> </w:t>
      </w:r>
      <w:r w:rsidR="00F40858">
        <w:rPr>
          <w:b/>
          <w:bCs/>
        </w:rPr>
        <w:t>4</w:t>
      </w:r>
      <w:r w:rsidR="00CC6E40">
        <w:rPr>
          <w:b/>
          <w:bCs/>
        </w:rPr>
        <w:t>.</w:t>
      </w:r>
      <w:r w:rsidRPr="00CC6E40">
        <w:rPr>
          <w:b/>
          <w:bCs/>
        </w:rPr>
        <w:t xml:space="preserve"> </w:t>
      </w:r>
      <w:r w:rsidR="00210D95">
        <w:rPr>
          <w:b/>
          <w:bCs/>
        </w:rPr>
        <w:t xml:space="preserve"> </w:t>
      </w:r>
      <w:r w:rsidRPr="00CC6E40">
        <w:rPr>
          <w:b/>
          <w:bCs/>
        </w:rPr>
        <w:t>HDH Vitality Rankings for the Case Study cities</w:t>
      </w:r>
    </w:p>
    <w:p w14:paraId="465DB41E" w14:textId="66278FC7" w:rsidR="00A8380F" w:rsidRPr="00DF2648" w:rsidRDefault="00CC6E40" w:rsidP="00C40E72">
      <w:pPr>
        <w:rPr>
          <w:rFonts w:asciiTheme="minorHAnsi" w:eastAsiaTheme="minorHAnsi" w:hAnsiTheme="minorHAnsi" w:cstheme="minorHAnsi"/>
          <w:noProof/>
        </w:rPr>
      </w:pPr>
      <w:r>
        <w:rPr>
          <w:noProof/>
        </w:rPr>
        <w:drawing>
          <wp:inline distT="0" distB="0" distL="0" distR="0" wp14:anchorId="16C3B3E4" wp14:editId="68B68601">
            <wp:extent cx="5105400" cy="3081866"/>
            <wp:effectExtent l="0" t="0" r="12700" b="17145"/>
            <wp:docPr id="34" name="Chart 34">
              <a:extLst xmlns:a="http://schemas.openxmlformats.org/drawingml/2006/main">
                <a:ext uri="{FF2B5EF4-FFF2-40B4-BE49-F238E27FC236}">
                  <a16:creationId xmlns:a16="http://schemas.microsoft.com/office/drawing/2014/main" id="{B74A3738-762D-CD43-8E91-F44443A082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FFA1435" w14:textId="0FFF515C" w:rsidR="00A8380F" w:rsidRPr="00F46539" w:rsidRDefault="00A8380F" w:rsidP="00C40E72">
      <w:pPr>
        <w:rPr>
          <w:rFonts w:asciiTheme="minorHAnsi" w:eastAsiaTheme="minorHAnsi" w:hAnsiTheme="minorHAnsi" w:cstheme="minorHAnsi"/>
          <w:sz w:val="20"/>
          <w:szCs w:val="20"/>
        </w:rPr>
      </w:pPr>
      <w:r w:rsidRPr="00F46539">
        <w:rPr>
          <w:rFonts w:asciiTheme="minorHAnsi" w:eastAsiaTheme="minorHAnsi" w:hAnsiTheme="minorHAnsi" w:cstheme="minorHAnsi"/>
          <w:noProof/>
          <w:sz w:val="20"/>
          <w:szCs w:val="20"/>
        </w:rPr>
        <w:t>Source: Harper Dennis Hobbs Vitality Index (2014; 2017; 2019)</w:t>
      </w:r>
    </w:p>
    <w:p w14:paraId="360897FD" w14:textId="77777777" w:rsidR="000F12D7" w:rsidRDefault="000F12D7" w:rsidP="00C54E0B">
      <w:pPr>
        <w:spacing w:line="360" w:lineRule="auto"/>
        <w:jc w:val="both"/>
        <w:rPr>
          <w:rFonts w:asciiTheme="minorHAnsi" w:eastAsiaTheme="minorHAnsi" w:hAnsiTheme="minorHAnsi" w:cstheme="minorHAnsi"/>
        </w:rPr>
      </w:pPr>
    </w:p>
    <w:p w14:paraId="33F70FDD" w14:textId="66F07A74" w:rsidR="00C54E0B" w:rsidRPr="00DF2648" w:rsidRDefault="00C54E0B" w:rsidP="00C54E0B">
      <w:pPr>
        <w:spacing w:line="360" w:lineRule="auto"/>
        <w:jc w:val="both"/>
        <w:rPr>
          <w:rFonts w:asciiTheme="minorHAnsi" w:eastAsiaTheme="minorHAnsi" w:hAnsiTheme="minorHAnsi" w:cstheme="minorHAnsi"/>
        </w:rPr>
      </w:pPr>
      <w:r>
        <w:rPr>
          <w:rFonts w:asciiTheme="minorHAnsi" w:eastAsiaTheme="minorHAnsi" w:hAnsiTheme="minorHAnsi" w:cstheme="minorHAnsi"/>
        </w:rPr>
        <w:t>The H</w:t>
      </w:r>
      <w:r w:rsidR="00DA3DD0">
        <w:rPr>
          <w:rFonts w:asciiTheme="minorHAnsi" w:eastAsiaTheme="minorHAnsi" w:hAnsiTheme="minorHAnsi" w:cstheme="minorHAnsi"/>
        </w:rPr>
        <w:t xml:space="preserve">arper </w:t>
      </w:r>
      <w:r>
        <w:rPr>
          <w:rFonts w:asciiTheme="minorHAnsi" w:eastAsiaTheme="minorHAnsi" w:hAnsiTheme="minorHAnsi" w:cstheme="minorHAnsi"/>
        </w:rPr>
        <w:t>D</w:t>
      </w:r>
      <w:r w:rsidR="00DA3DD0">
        <w:rPr>
          <w:rFonts w:asciiTheme="minorHAnsi" w:eastAsiaTheme="minorHAnsi" w:hAnsiTheme="minorHAnsi" w:cstheme="minorHAnsi"/>
        </w:rPr>
        <w:t xml:space="preserve">ennis </w:t>
      </w:r>
      <w:r>
        <w:rPr>
          <w:rFonts w:asciiTheme="minorHAnsi" w:eastAsiaTheme="minorHAnsi" w:hAnsiTheme="minorHAnsi" w:cstheme="minorHAnsi"/>
        </w:rPr>
        <w:t>H</w:t>
      </w:r>
      <w:r w:rsidR="00DA3DD0">
        <w:rPr>
          <w:rFonts w:asciiTheme="minorHAnsi" w:eastAsiaTheme="minorHAnsi" w:hAnsiTheme="minorHAnsi" w:cstheme="minorHAnsi"/>
        </w:rPr>
        <w:t>ob</w:t>
      </w:r>
      <w:r w:rsidR="00222A2D">
        <w:rPr>
          <w:rFonts w:asciiTheme="minorHAnsi" w:eastAsiaTheme="minorHAnsi" w:hAnsiTheme="minorHAnsi" w:cstheme="minorHAnsi"/>
        </w:rPr>
        <w:t>b</w:t>
      </w:r>
      <w:r w:rsidR="00DA3DD0">
        <w:rPr>
          <w:rFonts w:asciiTheme="minorHAnsi" w:eastAsiaTheme="minorHAnsi" w:hAnsiTheme="minorHAnsi" w:cstheme="minorHAnsi"/>
        </w:rPr>
        <w:t>s (HDH)</w:t>
      </w:r>
      <w:r>
        <w:rPr>
          <w:rFonts w:asciiTheme="minorHAnsi" w:eastAsiaTheme="minorHAnsi" w:hAnsiTheme="minorHAnsi" w:cstheme="minorHAnsi"/>
        </w:rPr>
        <w:t xml:space="preserve"> Vitality Score is one of the more recently published</w:t>
      </w:r>
      <w:r w:rsidR="00572DB8">
        <w:rPr>
          <w:rFonts w:asciiTheme="minorHAnsi" w:eastAsiaTheme="minorHAnsi" w:hAnsiTheme="minorHAnsi" w:cstheme="minorHAnsi"/>
        </w:rPr>
        <w:t xml:space="preserve"> </w:t>
      </w:r>
      <w:r>
        <w:rPr>
          <w:rFonts w:asciiTheme="minorHAnsi" w:eastAsiaTheme="minorHAnsi" w:hAnsiTheme="minorHAnsi" w:cstheme="minorHAnsi"/>
        </w:rPr>
        <w:t>retail ranking.</w:t>
      </w:r>
      <w:r w:rsidR="00572DB8">
        <w:rPr>
          <w:rFonts w:asciiTheme="minorHAnsi" w:eastAsiaTheme="minorHAnsi" w:hAnsiTheme="minorHAnsi" w:cstheme="minorHAnsi"/>
        </w:rPr>
        <w:t xml:space="preserve"> </w:t>
      </w:r>
      <w:r>
        <w:rPr>
          <w:rFonts w:asciiTheme="minorHAnsi" w:eastAsiaTheme="minorHAnsi" w:hAnsiTheme="minorHAnsi" w:cstheme="minorHAnsi"/>
        </w:rPr>
        <w:t xml:space="preserve">It captures the vitality of a centre by measuring </w:t>
      </w:r>
      <w:r w:rsidRPr="00C54E0B">
        <w:rPr>
          <w:rFonts w:asciiTheme="minorHAnsi" w:eastAsiaTheme="minorHAnsi" w:hAnsiTheme="minorHAnsi" w:cstheme="minorHAnsi"/>
        </w:rPr>
        <w:t>the proportion of up-market shops</w:t>
      </w:r>
      <w:r>
        <w:rPr>
          <w:rFonts w:asciiTheme="minorHAnsi" w:eastAsiaTheme="minorHAnsi" w:hAnsiTheme="minorHAnsi" w:cstheme="minorHAnsi"/>
        </w:rPr>
        <w:t>,</w:t>
      </w:r>
      <w:r w:rsidRPr="00C54E0B">
        <w:rPr>
          <w:rFonts w:asciiTheme="minorHAnsi" w:eastAsiaTheme="minorHAnsi" w:hAnsiTheme="minorHAnsi" w:cstheme="minorHAnsi"/>
        </w:rPr>
        <w:t xml:space="preserve"> the proportion of value-led shops; the vacancy rate, and the proportion of ‘undesirable’ shops </w:t>
      </w:r>
      <w:r>
        <w:rPr>
          <w:rFonts w:asciiTheme="minorHAnsi" w:eastAsiaTheme="minorHAnsi" w:hAnsiTheme="minorHAnsi" w:cstheme="minorHAnsi"/>
        </w:rPr>
        <w:t xml:space="preserve">weighted by the </w:t>
      </w:r>
      <w:r w:rsidRPr="00C54E0B">
        <w:rPr>
          <w:rFonts w:asciiTheme="minorHAnsi" w:eastAsiaTheme="minorHAnsi" w:hAnsiTheme="minorHAnsi" w:cstheme="minorHAnsi"/>
        </w:rPr>
        <w:t>demographic composition of the centre’s catchment area</w:t>
      </w:r>
      <w:r w:rsidR="00992002">
        <w:rPr>
          <w:rFonts w:asciiTheme="minorHAnsi" w:eastAsiaTheme="minorHAnsi" w:hAnsiTheme="minorHAnsi" w:cstheme="minorHAnsi"/>
        </w:rPr>
        <w:t>.</w:t>
      </w:r>
      <w:r w:rsidRPr="00C54E0B">
        <w:rPr>
          <w:rFonts w:asciiTheme="minorHAnsi" w:eastAsiaTheme="minorHAnsi" w:hAnsiTheme="minorHAnsi" w:cstheme="minorHAnsi"/>
        </w:rPr>
        <w:t xml:space="preserve"> </w:t>
      </w:r>
      <w:r w:rsidRPr="00DF2648">
        <w:rPr>
          <w:rFonts w:asciiTheme="minorHAnsi" w:eastAsiaTheme="minorHAnsi" w:hAnsiTheme="minorHAnsi" w:cstheme="minorHAnsi"/>
        </w:rPr>
        <w:t xml:space="preserve">The </w:t>
      </w:r>
      <w:r w:rsidRPr="00DF2648">
        <w:rPr>
          <w:rFonts w:asciiTheme="minorHAnsi" w:eastAsiaTheme="minorHAnsi" w:hAnsiTheme="minorHAnsi" w:cstheme="minorHAnsi"/>
          <w:color w:val="000000" w:themeColor="text1"/>
        </w:rPr>
        <w:t xml:space="preserve">HDH’s Vitality Score, shown in Figure </w:t>
      </w:r>
      <w:r w:rsidR="00F40858">
        <w:rPr>
          <w:rFonts w:asciiTheme="minorHAnsi" w:eastAsiaTheme="minorHAnsi" w:hAnsiTheme="minorHAnsi" w:cstheme="minorHAnsi"/>
          <w:color w:val="000000" w:themeColor="text1"/>
        </w:rPr>
        <w:t>4</w:t>
      </w:r>
      <w:r w:rsidR="00DA3DD0">
        <w:rPr>
          <w:rFonts w:asciiTheme="minorHAnsi" w:eastAsiaTheme="minorHAnsi" w:hAnsiTheme="minorHAnsi" w:cstheme="minorHAnsi"/>
          <w:color w:val="000000" w:themeColor="text1"/>
        </w:rPr>
        <w:t xml:space="preserve"> as </w:t>
      </w:r>
      <w:r w:rsidR="00A31097">
        <w:rPr>
          <w:rFonts w:asciiTheme="minorHAnsi" w:eastAsiaTheme="minorHAnsi" w:hAnsiTheme="minorHAnsi" w:cstheme="minorHAnsi"/>
          <w:color w:val="000000" w:themeColor="text1"/>
        </w:rPr>
        <w:t xml:space="preserve">the centre </w:t>
      </w:r>
      <w:r w:rsidR="00DA3DD0">
        <w:rPr>
          <w:rFonts w:asciiTheme="minorHAnsi" w:eastAsiaTheme="minorHAnsi" w:hAnsiTheme="minorHAnsi" w:cstheme="minorHAnsi"/>
          <w:color w:val="000000" w:themeColor="text1"/>
        </w:rPr>
        <w:t xml:space="preserve">ranking </w:t>
      </w:r>
      <w:r w:rsidR="00A31097">
        <w:rPr>
          <w:rFonts w:asciiTheme="minorHAnsi" w:eastAsiaTheme="minorHAnsi" w:hAnsiTheme="minorHAnsi" w:cstheme="minorHAnsi"/>
          <w:color w:val="000000" w:themeColor="text1"/>
        </w:rPr>
        <w:t xml:space="preserve">where </w:t>
      </w:r>
      <w:r w:rsidR="00DA3DD0">
        <w:rPr>
          <w:rFonts w:asciiTheme="minorHAnsi" w:eastAsiaTheme="minorHAnsi" w:hAnsiTheme="minorHAnsi" w:cstheme="minorHAnsi"/>
          <w:color w:val="000000" w:themeColor="text1"/>
        </w:rPr>
        <w:t>a lower ranking equates to a higher relative vitality</w:t>
      </w:r>
      <w:r w:rsidRPr="00DF2648">
        <w:rPr>
          <w:rFonts w:asciiTheme="minorHAnsi" w:eastAsiaTheme="minorHAnsi" w:hAnsiTheme="minorHAnsi" w:cstheme="minorHAnsi"/>
          <w:color w:val="000000" w:themeColor="text1"/>
        </w:rPr>
        <w:t>, demonstrates improvements in Edinburgh, Glasgow and Nottingham</w:t>
      </w:r>
      <w:r>
        <w:rPr>
          <w:rFonts w:asciiTheme="minorHAnsi" w:eastAsiaTheme="minorHAnsi" w:hAnsiTheme="minorHAnsi" w:cstheme="minorHAnsi"/>
          <w:color w:val="000000" w:themeColor="text1"/>
        </w:rPr>
        <w:t xml:space="preserve"> and</w:t>
      </w:r>
      <w:r w:rsidRPr="00DF2648">
        <w:rPr>
          <w:rFonts w:asciiTheme="minorHAnsi" w:eastAsiaTheme="minorHAnsi" w:hAnsiTheme="minorHAnsi" w:cstheme="minorHAnsi"/>
          <w:color w:val="000000" w:themeColor="text1"/>
        </w:rPr>
        <w:t xml:space="preserve"> a slight decrease in Liverpool </w:t>
      </w:r>
      <w:r>
        <w:rPr>
          <w:rFonts w:asciiTheme="minorHAnsi" w:eastAsiaTheme="minorHAnsi" w:hAnsiTheme="minorHAnsi" w:cstheme="minorHAnsi"/>
          <w:color w:val="000000" w:themeColor="text1"/>
        </w:rPr>
        <w:t>over the study period.</w:t>
      </w:r>
      <w:r w:rsidR="00572DB8">
        <w:rPr>
          <w:rFonts w:asciiTheme="minorHAnsi" w:eastAsiaTheme="minorHAnsi" w:hAnsiTheme="minorHAnsi" w:cstheme="minorHAnsi"/>
          <w:color w:val="000000" w:themeColor="text1"/>
        </w:rPr>
        <w:t xml:space="preserve"> </w:t>
      </w:r>
      <w:r>
        <w:rPr>
          <w:rFonts w:asciiTheme="minorHAnsi" w:eastAsiaTheme="minorHAnsi" w:hAnsiTheme="minorHAnsi" w:cstheme="minorHAnsi"/>
          <w:color w:val="000000" w:themeColor="text1"/>
        </w:rPr>
        <w:t>T</w:t>
      </w:r>
      <w:r w:rsidRPr="00DF2648">
        <w:rPr>
          <w:rFonts w:asciiTheme="minorHAnsi" w:eastAsiaTheme="minorHAnsi" w:hAnsiTheme="minorHAnsi" w:cstheme="minorHAnsi"/>
          <w:color w:val="000000" w:themeColor="text1"/>
        </w:rPr>
        <w:t xml:space="preserve">he ranking for Hull </w:t>
      </w:r>
      <w:r>
        <w:rPr>
          <w:rFonts w:asciiTheme="minorHAnsi" w:eastAsiaTheme="minorHAnsi" w:hAnsiTheme="minorHAnsi" w:cstheme="minorHAnsi"/>
          <w:color w:val="000000" w:themeColor="text1"/>
        </w:rPr>
        <w:t xml:space="preserve">declined </w:t>
      </w:r>
      <w:r w:rsidRPr="00DF2648">
        <w:rPr>
          <w:rFonts w:asciiTheme="minorHAnsi" w:eastAsiaTheme="minorHAnsi" w:hAnsiTheme="minorHAnsi" w:cstheme="minorHAnsi"/>
          <w:color w:val="000000" w:themeColor="text1"/>
        </w:rPr>
        <w:t>between 2014 and 2017.</w:t>
      </w:r>
    </w:p>
    <w:p w14:paraId="38230EAF" w14:textId="77777777" w:rsidR="00C54E0B" w:rsidRDefault="00C54E0B" w:rsidP="00DF2648">
      <w:pPr>
        <w:spacing w:line="360" w:lineRule="auto"/>
        <w:jc w:val="both"/>
        <w:rPr>
          <w:rFonts w:asciiTheme="minorHAnsi" w:eastAsiaTheme="minorHAnsi" w:hAnsiTheme="minorHAnsi" w:cstheme="minorHAnsi"/>
        </w:rPr>
      </w:pPr>
    </w:p>
    <w:p w14:paraId="5FD85C29" w14:textId="0ADD7A7A" w:rsidR="00F21E54" w:rsidRPr="00DF2648" w:rsidRDefault="00F21E54" w:rsidP="00DF2648">
      <w:pPr>
        <w:spacing w:line="360" w:lineRule="auto"/>
        <w:jc w:val="both"/>
        <w:rPr>
          <w:rFonts w:asciiTheme="minorHAnsi" w:eastAsiaTheme="minorHAnsi" w:hAnsiTheme="minorHAnsi" w:cstheme="minorHAnsi"/>
        </w:rPr>
      </w:pPr>
      <w:r w:rsidRPr="00DF2648">
        <w:rPr>
          <w:rFonts w:asciiTheme="minorHAnsi" w:eastAsiaTheme="minorHAnsi" w:hAnsiTheme="minorHAnsi" w:cstheme="minorHAnsi"/>
        </w:rPr>
        <w:t xml:space="preserve">A total of twenty factors are combined within Knight Frank’s Top 200 Retail Ranking (see Knight Frank, 2017), grouped into the categories: catchment, expenditure, retail/leisure supply, occupational market, investment market and competition. The raw data for each centre are attributed a score (from a high of 20 for the most desirable, down to 1) to show relative positions. These scores are then summed to provide an overall ranking. The scores across the twenty variables, as well as the overall rankings, are shown in Table </w:t>
      </w:r>
      <w:r w:rsidR="00474093">
        <w:rPr>
          <w:rFonts w:asciiTheme="minorHAnsi" w:eastAsiaTheme="minorHAnsi" w:hAnsiTheme="minorHAnsi" w:cstheme="minorHAnsi"/>
        </w:rPr>
        <w:t>A</w:t>
      </w:r>
      <w:r w:rsidR="004E67D8">
        <w:rPr>
          <w:rFonts w:asciiTheme="minorHAnsi" w:eastAsiaTheme="minorHAnsi" w:hAnsiTheme="minorHAnsi" w:cstheme="minorHAnsi"/>
        </w:rPr>
        <w:t>1</w:t>
      </w:r>
      <w:r w:rsidRPr="00DF2648">
        <w:rPr>
          <w:rFonts w:asciiTheme="minorHAnsi" w:eastAsiaTheme="minorHAnsi" w:hAnsiTheme="minorHAnsi" w:cstheme="minorHAnsi"/>
        </w:rPr>
        <w:t xml:space="preserve"> for the five case study cities and provide details of the centres at the end of the study period.</w:t>
      </w:r>
    </w:p>
    <w:p w14:paraId="0A547740" w14:textId="77777777" w:rsidR="00F21E54" w:rsidRPr="00DF2648" w:rsidRDefault="00F21E54" w:rsidP="00DF2648">
      <w:pPr>
        <w:spacing w:line="360" w:lineRule="auto"/>
        <w:jc w:val="both"/>
        <w:rPr>
          <w:rFonts w:asciiTheme="minorHAnsi" w:eastAsiaTheme="minorHAnsi" w:hAnsiTheme="minorHAnsi" w:cstheme="minorHAnsi"/>
        </w:rPr>
      </w:pPr>
    </w:p>
    <w:p w14:paraId="656F8A5F" w14:textId="60695F4B" w:rsidR="00F21E54" w:rsidRPr="00DF2648" w:rsidRDefault="00F21E54" w:rsidP="00DF2648">
      <w:pPr>
        <w:spacing w:line="360" w:lineRule="auto"/>
        <w:jc w:val="both"/>
        <w:rPr>
          <w:rFonts w:asciiTheme="minorHAnsi" w:eastAsiaTheme="minorHAnsi" w:hAnsiTheme="minorHAnsi" w:cstheme="minorHAnsi"/>
        </w:rPr>
      </w:pPr>
      <w:r w:rsidRPr="00DF2648">
        <w:rPr>
          <w:rFonts w:asciiTheme="minorHAnsi" w:eastAsiaTheme="minorHAnsi" w:hAnsiTheme="minorHAnsi" w:cstheme="minorHAnsi"/>
        </w:rPr>
        <w:t xml:space="preserve">As shown in Table </w:t>
      </w:r>
      <w:r w:rsidR="00474093">
        <w:rPr>
          <w:rFonts w:asciiTheme="minorHAnsi" w:eastAsiaTheme="minorHAnsi" w:hAnsiTheme="minorHAnsi" w:cstheme="minorHAnsi"/>
        </w:rPr>
        <w:t>A</w:t>
      </w:r>
      <w:r w:rsidR="004E67D8">
        <w:rPr>
          <w:rFonts w:asciiTheme="minorHAnsi" w:eastAsiaTheme="minorHAnsi" w:hAnsiTheme="minorHAnsi" w:cstheme="minorHAnsi"/>
        </w:rPr>
        <w:t>1</w:t>
      </w:r>
      <w:r w:rsidRPr="00DF2648">
        <w:rPr>
          <w:rFonts w:asciiTheme="minorHAnsi" w:eastAsiaTheme="minorHAnsi" w:hAnsiTheme="minorHAnsi" w:cstheme="minorHAnsi"/>
        </w:rPr>
        <w:t>, Edinburgh is much better placed than any other city in terms of population growth and affluence, as well as expenditure growth</w:t>
      </w:r>
      <w:r w:rsidR="00C54E0B">
        <w:rPr>
          <w:rFonts w:asciiTheme="minorHAnsi" w:eastAsiaTheme="minorHAnsi" w:hAnsiTheme="minorHAnsi" w:cstheme="minorHAnsi"/>
        </w:rPr>
        <w:t xml:space="preserve"> (also reflected in the lower HDH vitality score in Figure </w:t>
      </w:r>
      <w:r w:rsidR="00F40858">
        <w:rPr>
          <w:rFonts w:asciiTheme="minorHAnsi" w:eastAsiaTheme="minorHAnsi" w:hAnsiTheme="minorHAnsi" w:cstheme="minorHAnsi"/>
        </w:rPr>
        <w:t>4</w:t>
      </w:r>
      <w:r w:rsidR="00C54E0B">
        <w:rPr>
          <w:rFonts w:asciiTheme="minorHAnsi" w:eastAsiaTheme="minorHAnsi" w:hAnsiTheme="minorHAnsi" w:cstheme="minorHAnsi"/>
        </w:rPr>
        <w:t>)</w:t>
      </w:r>
      <w:r w:rsidRPr="00DF2648">
        <w:rPr>
          <w:rFonts w:asciiTheme="minorHAnsi" w:eastAsiaTheme="minorHAnsi" w:hAnsiTheme="minorHAnsi" w:cstheme="minorHAnsi"/>
        </w:rPr>
        <w:t>. These perhap</w:t>
      </w:r>
      <w:r w:rsidR="00210D95">
        <w:rPr>
          <w:rFonts w:asciiTheme="minorHAnsi" w:eastAsiaTheme="minorHAnsi" w:hAnsiTheme="minorHAnsi" w:cstheme="minorHAnsi"/>
        </w:rPr>
        <w:t>s</w:t>
      </w:r>
      <w:r w:rsidRPr="00DF2648">
        <w:rPr>
          <w:rFonts w:asciiTheme="minorHAnsi" w:eastAsiaTheme="minorHAnsi" w:hAnsiTheme="minorHAnsi" w:cstheme="minorHAnsi"/>
        </w:rPr>
        <w:t xml:space="preserve"> reflect its position as a capital city, attracting an international clientele. </w:t>
      </w:r>
      <w:r w:rsidRPr="00DF2648">
        <w:rPr>
          <w:rFonts w:asciiTheme="minorHAnsi" w:eastAsiaTheme="minorHAnsi" w:hAnsiTheme="minorHAnsi" w:cstheme="minorHAnsi"/>
        </w:rPr>
        <w:lastRenderedPageBreak/>
        <w:t xml:space="preserve">However, its supply is significantly physically constrained and thus, as shown in the final column, it is much more susceptible than the other cities (apart from </w:t>
      </w:r>
      <w:r w:rsidR="00006144">
        <w:rPr>
          <w:rFonts w:asciiTheme="minorHAnsi" w:eastAsiaTheme="minorHAnsi" w:hAnsiTheme="minorHAnsi" w:cstheme="minorHAnsi"/>
        </w:rPr>
        <w:t>Nottingham, Post-C19)</w:t>
      </w:r>
      <w:r w:rsidRPr="00DF2648">
        <w:rPr>
          <w:rFonts w:asciiTheme="minorHAnsi" w:eastAsiaTheme="minorHAnsi" w:hAnsiTheme="minorHAnsi" w:cstheme="minorHAnsi"/>
        </w:rPr>
        <w:t xml:space="preserve"> to competition through future changes to local supply.</w:t>
      </w:r>
    </w:p>
    <w:p w14:paraId="031C3A3A" w14:textId="77777777" w:rsidR="00F21E54" w:rsidRPr="00DF2648" w:rsidRDefault="00F21E54" w:rsidP="00DF2648">
      <w:pPr>
        <w:spacing w:line="360" w:lineRule="auto"/>
        <w:jc w:val="both"/>
        <w:rPr>
          <w:rFonts w:asciiTheme="minorHAnsi" w:eastAsiaTheme="minorHAnsi" w:hAnsiTheme="minorHAnsi" w:cstheme="minorHAnsi"/>
        </w:rPr>
      </w:pPr>
    </w:p>
    <w:p w14:paraId="2E9D94CF" w14:textId="6B0CC42A" w:rsidR="00F21E54" w:rsidRPr="00DF2648" w:rsidRDefault="00F21E54" w:rsidP="00DF2648">
      <w:pPr>
        <w:spacing w:line="360" w:lineRule="auto"/>
        <w:jc w:val="both"/>
        <w:rPr>
          <w:rFonts w:asciiTheme="minorHAnsi" w:eastAsiaTheme="minorHAnsi" w:hAnsiTheme="minorHAnsi" w:cstheme="minorHAnsi"/>
        </w:rPr>
      </w:pPr>
      <w:r w:rsidRPr="00DF2648">
        <w:rPr>
          <w:rFonts w:asciiTheme="minorHAnsi" w:eastAsiaTheme="minorHAnsi" w:hAnsiTheme="minorHAnsi" w:cstheme="minorHAnsi"/>
        </w:rPr>
        <w:t>Other than Hull, no other city stands out as being significantly different from any one other</w:t>
      </w:r>
      <w:r w:rsidR="00DA3DD0">
        <w:rPr>
          <w:rFonts w:asciiTheme="minorHAnsi" w:eastAsiaTheme="minorHAnsi" w:hAnsiTheme="minorHAnsi" w:cstheme="minorHAnsi"/>
        </w:rPr>
        <w:t xml:space="preserve"> in the Knight Frank </w:t>
      </w:r>
      <w:r w:rsidR="00FF4285">
        <w:rPr>
          <w:rFonts w:asciiTheme="minorHAnsi" w:eastAsiaTheme="minorHAnsi" w:hAnsiTheme="minorHAnsi" w:cstheme="minorHAnsi"/>
        </w:rPr>
        <w:t xml:space="preserve">2017 </w:t>
      </w:r>
      <w:r w:rsidR="00DA3DD0">
        <w:rPr>
          <w:rFonts w:asciiTheme="minorHAnsi" w:eastAsiaTheme="minorHAnsi" w:hAnsiTheme="minorHAnsi" w:cstheme="minorHAnsi"/>
        </w:rPr>
        <w:t>rankings</w:t>
      </w:r>
      <w:r w:rsidRPr="00DF2648">
        <w:rPr>
          <w:rFonts w:asciiTheme="minorHAnsi" w:eastAsiaTheme="minorHAnsi" w:hAnsiTheme="minorHAnsi" w:cstheme="minorHAnsi"/>
        </w:rPr>
        <w:t xml:space="preserve">. There are some patterns, such as the consistently high rankings across the sample for catchment size and in-store expenditure, and the low scores for out-of-town provision and online spend. Glasgow and Nottingham are ranked markedly lower for their population growth than the other cities, while the three English cities have lower scores for the per capita spending variable. More nuanced differences can be seen in the </w:t>
      </w:r>
      <w:r w:rsidR="00EB7273">
        <w:rPr>
          <w:rFonts w:asciiTheme="minorHAnsi" w:eastAsiaTheme="minorHAnsi" w:hAnsiTheme="minorHAnsi" w:cstheme="minorHAnsi"/>
        </w:rPr>
        <w:t>Table A1.</w:t>
      </w:r>
      <w:r w:rsidRPr="00DF2648">
        <w:rPr>
          <w:rFonts w:asciiTheme="minorHAnsi" w:eastAsiaTheme="minorHAnsi" w:hAnsiTheme="minorHAnsi" w:cstheme="minorHAnsi"/>
        </w:rPr>
        <w:t xml:space="preserve"> For Hull, however, there are some clear elements that set it apart. Although it is not out-of-line with the rest of the sample in terms of catchment, expenditure (apart from tourism) and competition, there are clear differences across the supply and occupational and investment market categories. One might expect lower scores for these variables to be driven by lower scores in catchment, expenditure and competition. Yet, retail provision and resilience are still ranked quite high for Hull. The lowest scores are for rental growth and investment demand, indicating a static (and undesirable) market. It might be that there is too much supply, with an insufficient mix of retail and leisure provision within it, for a centre with such a low score for affluence. Overall, however, this indicates that there is a fine balance, between a large number of variables, needed for a centre to score well.</w:t>
      </w:r>
    </w:p>
    <w:p w14:paraId="47AFF853" w14:textId="77777777" w:rsidR="005D11A2" w:rsidRPr="00DF2648" w:rsidRDefault="005D11A2" w:rsidP="00DF2648">
      <w:pPr>
        <w:spacing w:line="360" w:lineRule="auto"/>
        <w:jc w:val="both"/>
        <w:rPr>
          <w:rFonts w:asciiTheme="minorHAnsi" w:eastAsiaTheme="minorHAnsi" w:hAnsiTheme="minorHAnsi" w:cstheme="minorHAnsi"/>
        </w:rPr>
      </w:pPr>
    </w:p>
    <w:p w14:paraId="439EFB18" w14:textId="531C362F" w:rsidR="006C670C" w:rsidRDefault="00F21E54" w:rsidP="006C670C">
      <w:pPr>
        <w:spacing w:line="360" w:lineRule="auto"/>
        <w:jc w:val="both"/>
        <w:rPr>
          <w:rFonts w:asciiTheme="minorHAnsi" w:eastAsiaTheme="minorHAnsi" w:hAnsiTheme="minorHAnsi" w:cstheme="minorHAnsi"/>
        </w:rPr>
      </w:pPr>
      <w:r w:rsidRPr="00DF2648">
        <w:rPr>
          <w:rFonts w:asciiTheme="minorHAnsi" w:eastAsiaTheme="minorHAnsi" w:hAnsiTheme="minorHAnsi" w:cstheme="minorHAnsi"/>
        </w:rPr>
        <w:t>There have been previous attempts to explore retail market indicators, focusing on investment performance metrics, to categorise UK towns and cities to enable comparisons. These are briefly reviewed to draw out some of the characteristics embedded within and underpinning the retail sector. Overall, differential rental levels are often seen as a key indicator of market health and, thus, attractiveness to investors and are found to be explained by the number of national multiple retailers present and the demographic profile of the local population (Jackson, 2001). Thus, for Glasgow, although it is consistently ranked 2</w:t>
      </w:r>
      <w:r w:rsidRPr="00DF2648">
        <w:rPr>
          <w:rFonts w:asciiTheme="minorHAnsi" w:eastAsiaTheme="minorHAnsi" w:hAnsiTheme="minorHAnsi" w:cstheme="minorHAnsi"/>
          <w:vertAlign w:val="superscript"/>
        </w:rPr>
        <w:t>nd</w:t>
      </w:r>
      <w:r w:rsidRPr="00DF2648">
        <w:rPr>
          <w:rFonts w:asciiTheme="minorHAnsi" w:eastAsiaTheme="minorHAnsi" w:hAnsiTheme="minorHAnsi" w:cstheme="minorHAnsi"/>
        </w:rPr>
        <w:t xml:space="preserve"> or 3</w:t>
      </w:r>
      <w:r w:rsidRPr="00DF2648">
        <w:rPr>
          <w:rFonts w:asciiTheme="minorHAnsi" w:eastAsiaTheme="minorHAnsi" w:hAnsiTheme="minorHAnsi" w:cstheme="minorHAnsi"/>
          <w:vertAlign w:val="superscript"/>
        </w:rPr>
        <w:t>rd</w:t>
      </w:r>
      <w:r w:rsidRPr="00DF2648">
        <w:rPr>
          <w:rFonts w:asciiTheme="minorHAnsi" w:eastAsiaTheme="minorHAnsi" w:hAnsiTheme="minorHAnsi" w:cstheme="minorHAnsi"/>
        </w:rPr>
        <w:t xml:space="preserve"> in the UK in terms of its MBS, it has atypically low retail rents due to the comparatively low average spending power of the local population (combined with lower supply constraints) (Jackson, 2001). In terms of spending power, Gibb </w:t>
      </w:r>
      <w:r w:rsidRPr="00DF2648">
        <w:rPr>
          <w:rFonts w:asciiTheme="minorHAnsi" w:eastAsiaTheme="minorHAnsi" w:hAnsiTheme="minorHAnsi" w:cstheme="minorHAnsi"/>
          <w:i/>
        </w:rPr>
        <w:t>et al</w:t>
      </w:r>
      <w:r w:rsidR="00EF401B">
        <w:rPr>
          <w:rFonts w:asciiTheme="minorHAnsi" w:eastAsiaTheme="minorHAnsi" w:hAnsiTheme="minorHAnsi" w:cstheme="minorHAnsi"/>
          <w:i/>
        </w:rPr>
        <w:t>.</w:t>
      </w:r>
      <w:r w:rsidR="00F54809">
        <w:rPr>
          <w:rFonts w:asciiTheme="minorHAnsi" w:eastAsiaTheme="minorHAnsi" w:hAnsiTheme="minorHAnsi" w:cstheme="minorHAnsi"/>
        </w:rPr>
        <w:t xml:space="preserve"> </w:t>
      </w:r>
      <w:r w:rsidRPr="00DF2648">
        <w:rPr>
          <w:rFonts w:asciiTheme="minorHAnsi" w:eastAsiaTheme="minorHAnsi" w:hAnsiTheme="minorHAnsi" w:cstheme="minorHAnsi"/>
        </w:rPr>
        <w:t>(1998) found that many of the most deprived areas in Scotland were in Glasgow (and some with the worst levels of deprivation</w:t>
      </w:r>
      <w:r w:rsidR="00DA3DD0">
        <w:rPr>
          <w:rFonts w:asciiTheme="minorHAnsi" w:eastAsiaTheme="minorHAnsi" w:hAnsiTheme="minorHAnsi" w:cstheme="minorHAnsi"/>
        </w:rPr>
        <w:t xml:space="preserve"> which continues to be evident in the Scottish Index of Multiple </w:t>
      </w:r>
      <w:r w:rsidR="00DA3DD0">
        <w:rPr>
          <w:rFonts w:asciiTheme="minorHAnsi" w:eastAsiaTheme="minorHAnsi" w:hAnsiTheme="minorHAnsi" w:cstheme="minorHAnsi"/>
        </w:rPr>
        <w:lastRenderedPageBreak/>
        <w:t>Deprivation 2020</w:t>
      </w:r>
      <w:r w:rsidRPr="00DF2648">
        <w:rPr>
          <w:rFonts w:asciiTheme="minorHAnsi" w:eastAsiaTheme="minorHAnsi" w:hAnsiTheme="minorHAnsi" w:cstheme="minorHAnsi"/>
        </w:rPr>
        <w:t xml:space="preserve">). This is in line with Knight Frank’s (2017) very low affluence score, but low levels of affluence are seen across all case study cities except Edinburgh. However, Glasgow additionally has low supply constraints, unlike Edinburgh (Jackson, 2001). Edinburgh, however, was found to have a significantly higher than average proportion of its population between 16 and pensionable age, with no dependents, suggesting a high level of disposable income, yet Jackson (2001) found that rental levels did not reflect this. This was based on a cross-sectional model dominated by English towns and cities. It may be that there is a difference between the retail sector in the two countries, suggested additionally by </w:t>
      </w:r>
      <w:proofErr w:type="spellStart"/>
      <w:r w:rsidRPr="00DF2648">
        <w:rPr>
          <w:rFonts w:asciiTheme="minorHAnsi" w:eastAsiaTheme="minorHAnsi" w:hAnsiTheme="minorHAnsi" w:cstheme="minorHAnsi"/>
        </w:rPr>
        <w:t>Hoesli</w:t>
      </w:r>
      <w:proofErr w:type="spellEnd"/>
      <w:r w:rsidR="00EF401B">
        <w:rPr>
          <w:rFonts w:asciiTheme="minorHAnsi" w:eastAsiaTheme="minorHAnsi" w:hAnsiTheme="minorHAnsi" w:cstheme="minorHAnsi"/>
        </w:rPr>
        <w:t>,</w:t>
      </w:r>
      <w:r w:rsidRPr="00DF2648">
        <w:rPr>
          <w:rFonts w:asciiTheme="minorHAnsi" w:eastAsiaTheme="minorHAnsi" w:hAnsiTheme="minorHAnsi" w:cstheme="minorHAnsi"/>
        </w:rPr>
        <w:t xml:space="preserve"> </w:t>
      </w:r>
      <w:proofErr w:type="spellStart"/>
      <w:r w:rsidR="00EF401B" w:rsidRPr="00EF401B">
        <w:rPr>
          <w:rFonts w:asciiTheme="minorHAnsi" w:eastAsiaTheme="minorHAnsi" w:hAnsiTheme="minorHAnsi" w:cstheme="minorHAnsi"/>
        </w:rPr>
        <w:t>Lizieri</w:t>
      </w:r>
      <w:proofErr w:type="spellEnd"/>
      <w:r w:rsidR="00EF401B" w:rsidRPr="00EF401B">
        <w:rPr>
          <w:rFonts w:asciiTheme="minorHAnsi" w:eastAsiaTheme="minorHAnsi" w:hAnsiTheme="minorHAnsi" w:cstheme="minorHAnsi"/>
        </w:rPr>
        <w:t xml:space="preserve"> and Macgregor</w:t>
      </w:r>
      <w:r w:rsidR="00EF401B">
        <w:rPr>
          <w:rFonts w:asciiTheme="minorHAnsi" w:eastAsiaTheme="minorHAnsi" w:hAnsiTheme="minorHAnsi" w:cstheme="minorHAnsi"/>
        </w:rPr>
        <w:t xml:space="preserve"> </w:t>
      </w:r>
      <w:r w:rsidRPr="00DF2648">
        <w:rPr>
          <w:rFonts w:asciiTheme="minorHAnsi" w:eastAsiaTheme="minorHAnsi" w:hAnsiTheme="minorHAnsi" w:cstheme="minorHAnsi"/>
        </w:rPr>
        <w:t xml:space="preserve">(1997) who suggest the “possible influence of local (Scottish) factors such as local anticipated rental growth, risk premia, depreciation and liquidity” (Jackson, 2001, p. 1461). In a similar vein, there have been suggestions of differences in operation between the broadly categorised ‘southern’ and ’northern’ English towns and cities (see </w:t>
      </w:r>
      <w:proofErr w:type="spellStart"/>
      <w:r w:rsidRPr="00DF2648">
        <w:rPr>
          <w:rFonts w:asciiTheme="minorHAnsi" w:eastAsiaTheme="minorHAnsi" w:hAnsiTheme="minorHAnsi" w:cstheme="minorHAnsi"/>
        </w:rPr>
        <w:t>Hoesli</w:t>
      </w:r>
      <w:proofErr w:type="spellEnd"/>
      <w:r w:rsidRPr="00DF2648">
        <w:rPr>
          <w:rFonts w:asciiTheme="minorHAnsi" w:eastAsiaTheme="minorHAnsi" w:hAnsiTheme="minorHAnsi" w:cstheme="minorHAnsi"/>
        </w:rPr>
        <w:t xml:space="preserve"> and MacGregor, 1995; Jackson, 2001). Liverpool and Nottingham were not found to display any differences from similar centres (Hull was not included in th</w:t>
      </w:r>
      <w:r w:rsidR="00DA3DD0">
        <w:rPr>
          <w:rFonts w:asciiTheme="minorHAnsi" w:eastAsiaTheme="minorHAnsi" w:hAnsiTheme="minorHAnsi" w:cstheme="minorHAnsi"/>
        </w:rPr>
        <w:t xml:space="preserve">e studies by Jackson and </w:t>
      </w:r>
      <w:proofErr w:type="spellStart"/>
      <w:r w:rsidR="00DA3DD0">
        <w:rPr>
          <w:rFonts w:asciiTheme="minorHAnsi" w:eastAsiaTheme="minorHAnsi" w:hAnsiTheme="minorHAnsi" w:cstheme="minorHAnsi"/>
        </w:rPr>
        <w:t>Hoesli</w:t>
      </w:r>
      <w:proofErr w:type="spellEnd"/>
      <w:r w:rsidR="00DA3DD0">
        <w:rPr>
          <w:rFonts w:asciiTheme="minorHAnsi" w:eastAsiaTheme="minorHAnsi" w:hAnsiTheme="minorHAnsi" w:cstheme="minorHAnsi"/>
        </w:rPr>
        <w:t xml:space="preserve"> </w:t>
      </w:r>
      <w:r w:rsidR="00EF401B">
        <w:rPr>
          <w:rFonts w:asciiTheme="minorHAnsi" w:eastAsiaTheme="minorHAnsi" w:hAnsiTheme="minorHAnsi" w:cstheme="minorHAnsi"/>
        </w:rPr>
        <w:t>and MacGregor</w:t>
      </w:r>
      <w:r w:rsidRPr="00DF2648">
        <w:rPr>
          <w:rFonts w:asciiTheme="minorHAnsi" w:eastAsiaTheme="minorHAnsi" w:hAnsiTheme="minorHAnsi" w:cstheme="minorHAnsi"/>
        </w:rPr>
        <w:t>).</w:t>
      </w:r>
    </w:p>
    <w:p w14:paraId="4939C3D1" w14:textId="77777777" w:rsidR="00EC5FD9" w:rsidRDefault="00EC5FD9" w:rsidP="006C670C">
      <w:pPr>
        <w:spacing w:line="360" w:lineRule="auto"/>
        <w:jc w:val="both"/>
        <w:rPr>
          <w:rFonts w:asciiTheme="minorHAnsi" w:eastAsiaTheme="minorHAnsi" w:hAnsiTheme="minorHAnsi" w:cstheme="minorHAnsi"/>
        </w:rPr>
      </w:pPr>
    </w:p>
    <w:p w14:paraId="0C03F50C" w14:textId="2DF64483" w:rsidR="00100B4C" w:rsidRDefault="00F21E54" w:rsidP="004A7175">
      <w:pPr>
        <w:spacing w:line="360" w:lineRule="auto"/>
        <w:jc w:val="both"/>
        <w:rPr>
          <w:rFonts w:asciiTheme="minorHAnsi" w:eastAsiaTheme="minorHAnsi" w:hAnsiTheme="minorHAnsi" w:cstheme="minorHAnsi"/>
        </w:rPr>
      </w:pPr>
      <w:r w:rsidRPr="00DF2648">
        <w:rPr>
          <w:rFonts w:asciiTheme="minorHAnsi" w:eastAsiaTheme="minorHAnsi" w:hAnsiTheme="minorHAnsi" w:cstheme="minorHAnsi"/>
        </w:rPr>
        <w:t>Whereas the discussion of MBS relates to the number of shops, rental change was explored by Jackson (2002) and found that Nottingham at times shows characteristics more common to southern centres. She also found that Edinburgh, Glasgow and Liverpool displayed similar, stable patterns of rental change, common to other freestanding cities or dominant centres (using Champion</w:t>
      </w:r>
      <w:r w:rsidR="00920D82">
        <w:rPr>
          <w:rFonts w:asciiTheme="minorHAnsi" w:eastAsiaTheme="minorHAnsi" w:hAnsiTheme="minorHAnsi" w:cstheme="minorHAnsi"/>
        </w:rPr>
        <w:t>,</w:t>
      </w:r>
      <w:r w:rsidRPr="00DF2648">
        <w:rPr>
          <w:rFonts w:asciiTheme="minorHAnsi" w:eastAsiaTheme="minorHAnsi" w:hAnsiTheme="minorHAnsi" w:cstheme="minorHAnsi"/>
        </w:rPr>
        <w:t xml:space="preserve"> </w:t>
      </w:r>
      <w:r w:rsidR="00920D82" w:rsidRPr="00920D82">
        <w:rPr>
          <w:rFonts w:asciiTheme="minorHAnsi" w:eastAsiaTheme="minorHAnsi" w:hAnsiTheme="minorHAnsi" w:cstheme="minorHAnsi"/>
        </w:rPr>
        <w:t xml:space="preserve">Green, Owen, </w:t>
      </w:r>
      <w:proofErr w:type="spellStart"/>
      <w:r w:rsidR="00920D82" w:rsidRPr="00920D82">
        <w:rPr>
          <w:rFonts w:asciiTheme="minorHAnsi" w:eastAsiaTheme="minorHAnsi" w:hAnsiTheme="minorHAnsi" w:cstheme="minorHAnsi"/>
        </w:rPr>
        <w:t>Ellin</w:t>
      </w:r>
      <w:proofErr w:type="spellEnd"/>
      <w:r w:rsidR="00920D82" w:rsidRPr="00920D82">
        <w:rPr>
          <w:rFonts w:asciiTheme="minorHAnsi" w:eastAsiaTheme="minorHAnsi" w:hAnsiTheme="minorHAnsi" w:cstheme="minorHAnsi"/>
        </w:rPr>
        <w:t xml:space="preserve"> and Coombes</w:t>
      </w:r>
      <w:r w:rsidR="00920D82">
        <w:rPr>
          <w:rFonts w:asciiTheme="minorHAnsi" w:eastAsiaTheme="minorHAnsi" w:hAnsiTheme="minorHAnsi" w:cstheme="minorHAnsi"/>
        </w:rPr>
        <w:t>’</w:t>
      </w:r>
      <w:r w:rsidR="00920D82" w:rsidRPr="00920D82">
        <w:rPr>
          <w:rFonts w:asciiTheme="minorHAnsi" w:eastAsiaTheme="minorHAnsi" w:hAnsiTheme="minorHAnsi" w:cstheme="minorHAnsi"/>
        </w:rPr>
        <w:t xml:space="preserve"> </w:t>
      </w:r>
      <w:r w:rsidRPr="00DF2648">
        <w:rPr>
          <w:rFonts w:asciiTheme="minorHAnsi" w:eastAsiaTheme="minorHAnsi" w:hAnsiTheme="minorHAnsi" w:cstheme="minorHAnsi"/>
        </w:rPr>
        <w:t xml:space="preserve">1987 definitions) that were, at </w:t>
      </w:r>
      <w:r w:rsidR="00FF4285">
        <w:rPr>
          <w:rFonts w:asciiTheme="minorHAnsi" w:eastAsiaTheme="minorHAnsi" w:hAnsiTheme="minorHAnsi" w:cstheme="minorHAnsi"/>
        </w:rPr>
        <w:t xml:space="preserve">the </w:t>
      </w:r>
      <w:r w:rsidRPr="00DF2648">
        <w:rPr>
          <w:rFonts w:asciiTheme="minorHAnsi" w:eastAsiaTheme="minorHAnsi" w:hAnsiTheme="minorHAnsi" w:cstheme="minorHAnsi"/>
        </w:rPr>
        <w:t xml:space="preserve">time, declining, </w:t>
      </w:r>
      <w:r w:rsidR="00E02FC0">
        <w:rPr>
          <w:rFonts w:asciiTheme="minorHAnsi" w:eastAsiaTheme="minorHAnsi" w:hAnsiTheme="minorHAnsi" w:cstheme="minorHAnsi"/>
        </w:rPr>
        <w:t>“</w:t>
      </w:r>
      <w:r w:rsidRPr="00DF2648">
        <w:rPr>
          <w:rFonts w:asciiTheme="minorHAnsi" w:eastAsiaTheme="minorHAnsi" w:hAnsiTheme="minorHAnsi" w:cstheme="minorHAnsi"/>
        </w:rPr>
        <w:t>northern million cities</w:t>
      </w:r>
      <w:r w:rsidR="00920D82">
        <w:rPr>
          <w:rFonts w:asciiTheme="minorHAnsi" w:eastAsiaTheme="minorHAnsi" w:hAnsiTheme="minorHAnsi" w:cstheme="minorHAnsi"/>
        </w:rPr>
        <w:t>”</w:t>
      </w:r>
      <w:r w:rsidRPr="00DF2648">
        <w:rPr>
          <w:rFonts w:asciiTheme="minorHAnsi" w:eastAsiaTheme="minorHAnsi" w:hAnsiTheme="minorHAnsi" w:cstheme="minorHAnsi"/>
        </w:rPr>
        <w:t xml:space="preserve"> (using Green and Owen’s 1990 definitions).</w:t>
      </w:r>
      <w:r w:rsidR="006C670C">
        <w:rPr>
          <w:rFonts w:asciiTheme="minorHAnsi" w:eastAsiaTheme="minorHAnsi" w:hAnsiTheme="minorHAnsi" w:cstheme="minorHAnsi"/>
        </w:rPr>
        <w:t xml:space="preserve"> In a later study, Jackson with </w:t>
      </w:r>
      <w:r w:rsidR="006C670C" w:rsidRPr="00DF2648">
        <w:rPr>
          <w:rFonts w:asciiTheme="minorHAnsi" w:eastAsiaTheme="minorHAnsi" w:hAnsiTheme="minorHAnsi" w:cstheme="minorHAnsi"/>
        </w:rPr>
        <w:t>Colwell found that rents in larger centres</w:t>
      </w:r>
      <w:r w:rsidR="006C670C">
        <w:rPr>
          <w:rFonts w:asciiTheme="minorHAnsi" w:eastAsiaTheme="minorHAnsi" w:hAnsiTheme="minorHAnsi" w:cstheme="minorHAnsi"/>
        </w:rPr>
        <w:t>, such as Glasgow and Nottingham,</w:t>
      </w:r>
      <w:r w:rsidR="006C670C" w:rsidRPr="00DF2648">
        <w:rPr>
          <w:rFonts w:asciiTheme="minorHAnsi" w:eastAsiaTheme="minorHAnsi" w:hAnsiTheme="minorHAnsi" w:cstheme="minorHAnsi"/>
        </w:rPr>
        <w:t xml:space="preserve"> are statistically significantly more responsive to changes in consumer spending</w:t>
      </w:r>
      <w:r w:rsidR="006C670C">
        <w:rPr>
          <w:rFonts w:asciiTheme="minorHAnsi" w:eastAsiaTheme="minorHAnsi" w:hAnsiTheme="minorHAnsi" w:cstheme="minorHAnsi"/>
        </w:rPr>
        <w:t xml:space="preserve"> (Colwell and Jackson, 2004)</w:t>
      </w:r>
      <w:r w:rsidR="006C670C" w:rsidRPr="00DF2648">
        <w:rPr>
          <w:rFonts w:asciiTheme="minorHAnsi" w:eastAsiaTheme="minorHAnsi" w:hAnsiTheme="minorHAnsi" w:cstheme="minorHAnsi"/>
        </w:rPr>
        <w:t>.</w:t>
      </w:r>
    </w:p>
    <w:p w14:paraId="3A0BBCFD" w14:textId="6F5E148B" w:rsidR="00920D82" w:rsidRDefault="00920D82" w:rsidP="004A7175">
      <w:pPr>
        <w:spacing w:line="360" w:lineRule="auto"/>
        <w:jc w:val="both"/>
        <w:rPr>
          <w:rFonts w:asciiTheme="minorHAnsi" w:eastAsiaTheme="minorHAnsi" w:hAnsiTheme="minorHAnsi" w:cstheme="minorHAnsi"/>
        </w:rPr>
      </w:pPr>
    </w:p>
    <w:p w14:paraId="4A2A23C7" w14:textId="0ADFC8DB" w:rsidR="00920D82" w:rsidRDefault="00920D82" w:rsidP="00920D82">
      <w:pPr>
        <w:spacing w:line="360" w:lineRule="auto"/>
        <w:jc w:val="both"/>
        <w:rPr>
          <w:rFonts w:asciiTheme="minorHAnsi" w:eastAsiaTheme="minorHAnsi" w:hAnsiTheme="minorHAnsi" w:cstheme="minorHAnsi"/>
        </w:rPr>
      </w:pPr>
      <w:r w:rsidRPr="00DF2648">
        <w:rPr>
          <w:rFonts w:asciiTheme="minorHAnsi" w:eastAsiaTheme="minorHAnsi" w:hAnsiTheme="minorHAnsi" w:cstheme="minorHAnsi"/>
        </w:rPr>
        <w:t xml:space="preserve">Liverpool and Nottingham have been explored by Jackson and Watkins (2005), within a sample of 35 Local Planning Authorities through a survey of policies relating to the retail sector. They found that Nottingham has almost the least constraints to development on the edge of the centre/periphery. By contrast, Liverpool has the most difficulty in land assembly for development, especially at the edge/periphery, but also in the city centre. Similarly, Nottingham and Liverpool are near the opposite ends of scale in terms of healthy market indicators, with Nottingham near the top and Liverpool in the bottom ten markets. It is interesting therefore, in the light of these differences, Jackson and Watkins </w:t>
      </w:r>
      <w:r>
        <w:rPr>
          <w:rFonts w:asciiTheme="minorHAnsi" w:eastAsiaTheme="minorHAnsi" w:hAnsiTheme="minorHAnsi" w:cstheme="minorHAnsi"/>
        </w:rPr>
        <w:t xml:space="preserve">(2005) </w:t>
      </w:r>
      <w:r w:rsidRPr="00DF2648">
        <w:rPr>
          <w:rFonts w:asciiTheme="minorHAnsi" w:eastAsiaTheme="minorHAnsi" w:hAnsiTheme="minorHAnsi" w:cstheme="minorHAnsi"/>
        </w:rPr>
        <w:t>found that both markets</w:t>
      </w:r>
      <w:r w:rsidR="00E02FC0">
        <w:rPr>
          <w:rFonts w:asciiTheme="minorHAnsi" w:eastAsiaTheme="minorHAnsi" w:hAnsiTheme="minorHAnsi" w:cstheme="minorHAnsi"/>
        </w:rPr>
        <w:t xml:space="preserve"> a</w:t>
      </w:r>
      <w:r w:rsidRPr="00DF2648">
        <w:rPr>
          <w:rFonts w:asciiTheme="minorHAnsi" w:eastAsiaTheme="minorHAnsi" w:hAnsiTheme="minorHAnsi" w:cstheme="minorHAnsi"/>
        </w:rPr>
        <w:t xml:space="preserve">re in the top 10 for positive </w:t>
      </w:r>
      <w:r w:rsidRPr="00DF2648">
        <w:rPr>
          <w:rFonts w:asciiTheme="minorHAnsi" w:eastAsiaTheme="minorHAnsi" w:hAnsiTheme="minorHAnsi" w:cstheme="minorHAnsi"/>
        </w:rPr>
        <w:lastRenderedPageBreak/>
        <w:t>rental growth in the period leading up to the survey, 1996-2000</w:t>
      </w:r>
      <w:r>
        <w:rPr>
          <w:rFonts w:asciiTheme="minorHAnsi" w:eastAsiaTheme="minorHAnsi" w:hAnsiTheme="minorHAnsi" w:cstheme="minorHAnsi"/>
        </w:rPr>
        <w:t>. It is possible for these development constraints to have pushed up the rents achieved for prime retail in Liverpool (see Figure 5) over the study period while the top rents achievable in Nottingham have been consistently lower. Rents in Glasgow, initially below Liverpool and Nottingham, have steadily risen above both cities. Edinburgh rents, once above Glasgow, fell and remained below Nottingham, Liverpool and Glasgow until 2017</w:t>
      </w:r>
      <w:r w:rsidR="00530EA9">
        <w:rPr>
          <w:rFonts w:asciiTheme="minorHAnsi" w:eastAsiaTheme="minorHAnsi" w:hAnsiTheme="minorHAnsi" w:cstheme="minorHAnsi"/>
        </w:rPr>
        <w:t xml:space="preserve"> when they rose above the market rent achievable in Nottingham</w:t>
      </w:r>
      <w:r>
        <w:rPr>
          <w:rFonts w:asciiTheme="minorHAnsi" w:eastAsiaTheme="minorHAnsi" w:hAnsiTheme="minorHAnsi" w:cstheme="minorHAnsi"/>
        </w:rPr>
        <w:t>. Prime rents in all cities have fallen within the last two years, and rents in Hull have remained consistently below the other four cities reflecting its consistently lower ranking.</w:t>
      </w:r>
    </w:p>
    <w:p w14:paraId="07470226" w14:textId="5E716DF8" w:rsidR="00920D82" w:rsidRDefault="00920D82" w:rsidP="004A7175">
      <w:pPr>
        <w:spacing w:line="360" w:lineRule="auto"/>
        <w:jc w:val="both"/>
        <w:rPr>
          <w:rFonts w:asciiTheme="minorHAnsi" w:eastAsiaTheme="minorHAnsi" w:hAnsiTheme="minorHAnsi" w:cstheme="minorHAnsi"/>
        </w:rPr>
      </w:pPr>
    </w:p>
    <w:p w14:paraId="59209E79" w14:textId="377A63DF" w:rsidR="00EB54E5" w:rsidRDefault="00EB54E5" w:rsidP="00EB54E5">
      <w:pPr>
        <w:spacing w:line="360" w:lineRule="auto"/>
        <w:jc w:val="both"/>
        <w:rPr>
          <w:rFonts w:asciiTheme="minorHAnsi" w:eastAsiaTheme="minorHAnsi" w:hAnsiTheme="minorHAnsi" w:cstheme="minorHAnsi"/>
          <w:b/>
          <w:bCs/>
        </w:rPr>
      </w:pPr>
      <w:r w:rsidRPr="00CC6E40">
        <w:rPr>
          <w:rFonts w:asciiTheme="minorHAnsi" w:eastAsiaTheme="minorHAnsi" w:hAnsiTheme="minorHAnsi" w:cstheme="minorHAnsi"/>
          <w:b/>
          <w:bCs/>
        </w:rPr>
        <w:t xml:space="preserve">Figure </w:t>
      </w:r>
      <w:r w:rsidR="00F40858">
        <w:rPr>
          <w:rFonts w:asciiTheme="minorHAnsi" w:eastAsiaTheme="minorHAnsi" w:hAnsiTheme="minorHAnsi" w:cstheme="minorHAnsi"/>
          <w:b/>
          <w:bCs/>
        </w:rPr>
        <w:t>5</w:t>
      </w:r>
      <w:r w:rsidRPr="00CC6E40">
        <w:rPr>
          <w:rFonts w:asciiTheme="minorHAnsi" w:eastAsiaTheme="minorHAnsi" w:hAnsiTheme="minorHAnsi" w:cstheme="minorHAnsi"/>
          <w:b/>
          <w:bCs/>
        </w:rPr>
        <w:t xml:space="preserve">. </w:t>
      </w:r>
      <w:r w:rsidR="00210D95">
        <w:rPr>
          <w:rFonts w:asciiTheme="minorHAnsi" w:eastAsiaTheme="minorHAnsi" w:hAnsiTheme="minorHAnsi" w:cstheme="minorHAnsi"/>
          <w:b/>
          <w:bCs/>
        </w:rPr>
        <w:t xml:space="preserve"> </w:t>
      </w:r>
      <w:bookmarkStart w:id="2" w:name="OLE_LINK6"/>
      <w:bookmarkStart w:id="3" w:name="OLE_LINK7"/>
      <w:r w:rsidRPr="00CC6E40">
        <w:rPr>
          <w:rFonts w:asciiTheme="minorHAnsi" w:eastAsiaTheme="minorHAnsi" w:hAnsiTheme="minorHAnsi" w:cstheme="minorHAnsi"/>
          <w:b/>
          <w:bCs/>
        </w:rPr>
        <w:t>Prime Town Centre Rents</w:t>
      </w:r>
    </w:p>
    <w:p w14:paraId="536C707B" w14:textId="58629775" w:rsidR="00EB54E5" w:rsidRPr="00CD72DB" w:rsidRDefault="00F93AF6" w:rsidP="00EB54E5">
      <w:pPr>
        <w:spacing w:line="360" w:lineRule="auto"/>
        <w:jc w:val="both"/>
        <w:rPr>
          <w:rFonts w:asciiTheme="minorHAnsi" w:eastAsiaTheme="minorHAnsi" w:hAnsiTheme="minorHAnsi" w:cstheme="minorHAnsi"/>
          <w:b/>
          <w:bCs/>
        </w:rPr>
      </w:pPr>
      <w:r>
        <w:rPr>
          <w:noProof/>
        </w:rPr>
        <w:drawing>
          <wp:inline distT="0" distB="0" distL="0" distR="0" wp14:anchorId="59594F79" wp14:editId="1D7FBEFD">
            <wp:extent cx="5032489" cy="2705524"/>
            <wp:effectExtent l="0" t="0" r="0" b="0"/>
            <wp:docPr id="105" name="Picture 105" descr="Graphical user interface,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Graphical user interface, chart, line chart&#10;&#10;Description automatically generated"/>
                    <pic:cNvPicPr/>
                  </pic:nvPicPr>
                  <pic:blipFill>
                    <a:blip r:embed="rId14"/>
                    <a:stretch>
                      <a:fillRect/>
                    </a:stretch>
                  </pic:blipFill>
                  <pic:spPr>
                    <a:xfrm>
                      <a:off x="0" y="0"/>
                      <a:ext cx="5066058" cy="2723571"/>
                    </a:xfrm>
                    <a:prstGeom prst="rect">
                      <a:avLst/>
                    </a:prstGeom>
                  </pic:spPr>
                </pic:pic>
              </a:graphicData>
            </a:graphic>
          </wp:inline>
        </w:drawing>
      </w:r>
    </w:p>
    <w:p w14:paraId="6BB01EF7" w14:textId="59D641B6" w:rsidR="00AD4C57" w:rsidRDefault="00EB54E5" w:rsidP="00530EA9">
      <w:pPr>
        <w:rPr>
          <w:rFonts w:asciiTheme="minorHAnsi" w:eastAsiaTheme="minorHAnsi" w:hAnsiTheme="minorHAnsi" w:cstheme="minorHAnsi"/>
          <w:sz w:val="20"/>
          <w:szCs w:val="20"/>
        </w:rPr>
      </w:pPr>
      <w:r w:rsidRPr="00F46539">
        <w:rPr>
          <w:rFonts w:asciiTheme="minorHAnsi" w:eastAsiaTheme="minorHAnsi" w:hAnsiTheme="minorHAnsi" w:cstheme="minorHAnsi"/>
          <w:sz w:val="20"/>
          <w:szCs w:val="20"/>
        </w:rPr>
        <w:t xml:space="preserve">Source: </w:t>
      </w:r>
      <w:r w:rsidR="00ED3C2E">
        <w:rPr>
          <w:rFonts w:asciiTheme="minorHAnsi" w:eastAsiaTheme="minorHAnsi" w:hAnsiTheme="minorHAnsi" w:cstheme="minorHAnsi"/>
          <w:sz w:val="20"/>
          <w:szCs w:val="20"/>
        </w:rPr>
        <w:t>P</w:t>
      </w:r>
      <w:r w:rsidR="00AD4C57">
        <w:rPr>
          <w:rFonts w:asciiTheme="minorHAnsi" w:eastAsiaTheme="minorHAnsi" w:hAnsiTheme="minorHAnsi" w:cstheme="minorHAnsi"/>
          <w:sz w:val="20"/>
          <w:szCs w:val="20"/>
        </w:rPr>
        <w:t>M</w:t>
      </w:r>
      <w:r w:rsidR="00CD72DB">
        <w:rPr>
          <w:rFonts w:asciiTheme="minorHAnsi" w:eastAsiaTheme="minorHAnsi" w:hAnsiTheme="minorHAnsi" w:cstheme="minorHAnsi"/>
          <w:sz w:val="20"/>
          <w:szCs w:val="20"/>
        </w:rPr>
        <w:t>A</w:t>
      </w:r>
      <w:r w:rsidR="00D36D01">
        <w:rPr>
          <w:rFonts w:asciiTheme="minorHAnsi" w:eastAsiaTheme="minorHAnsi" w:hAnsiTheme="minorHAnsi" w:cstheme="minorHAnsi"/>
          <w:sz w:val="20"/>
          <w:szCs w:val="20"/>
        </w:rPr>
        <w:t xml:space="preserve"> (2021)</w:t>
      </w:r>
      <w:bookmarkEnd w:id="2"/>
      <w:bookmarkEnd w:id="3"/>
    </w:p>
    <w:p w14:paraId="0BA3CE58" w14:textId="77777777" w:rsidR="00530EA9" w:rsidRPr="00530EA9" w:rsidRDefault="00530EA9" w:rsidP="00530EA9">
      <w:pPr>
        <w:rPr>
          <w:rFonts w:asciiTheme="minorHAnsi" w:eastAsiaTheme="minorHAnsi" w:hAnsiTheme="minorHAnsi" w:cstheme="minorHAnsi"/>
          <w:sz w:val="20"/>
          <w:szCs w:val="20"/>
        </w:rPr>
      </w:pPr>
    </w:p>
    <w:p w14:paraId="2E16009B" w14:textId="2035D5D3" w:rsidR="00530EA9" w:rsidRDefault="00530EA9" w:rsidP="00530EA9">
      <w:pPr>
        <w:spacing w:line="360" w:lineRule="auto"/>
        <w:jc w:val="both"/>
        <w:rPr>
          <w:rFonts w:asciiTheme="minorHAnsi" w:eastAsiaTheme="minorHAnsi" w:hAnsiTheme="minorHAnsi" w:cstheme="minorHAnsi"/>
          <w:b/>
          <w:bCs/>
        </w:rPr>
      </w:pPr>
      <w:r w:rsidRPr="00CC6E40">
        <w:rPr>
          <w:rFonts w:asciiTheme="minorHAnsi" w:eastAsiaTheme="minorHAnsi" w:hAnsiTheme="minorHAnsi" w:cstheme="minorHAnsi"/>
          <w:b/>
          <w:bCs/>
        </w:rPr>
        <w:t xml:space="preserve">Figure </w:t>
      </w:r>
      <w:r>
        <w:rPr>
          <w:rFonts w:asciiTheme="minorHAnsi" w:eastAsiaTheme="minorHAnsi" w:hAnsiTheme="minorHAnsi" w:cstheme="minorHAnsi"/>
          <w:b/>
          <w:bCs/>
        </w:rPr>
        <w:t>6</w:t>
      </w:r>
      <w:r w:rsidRPr="00CC6E40">
        <w:rPr>
          <w:rFonts w:asciiTheme="minorHAnsi" w:eastAsiaTheme="minorHAnsi" w:hAnsiTheme="minorHAnsi" w:cstheme="minorHAnsi"/>
          <w:b/>
          <w:bCs/>
        </w:rPr>
        <w:t xml:space="preserve">. </w:t>
      </w:r>
      <w:r>
        <w:rPr>
          <w:rFonts w:asciiTheme="minorHAnsi" w:eastAsiaTheme="minorHAnsi" w:hAnsiTheme="minorHAnsi" w:cstheme="minorHAnsi"/>
          <w:b/>
          <w:bCs/>
        </w:rPr>
        <w:t xml:space="preserve"> </w:t>
      </w:r>
      <w:r w:rsidRPr="00CC6E40">
        <w:rPr>
          <w:rFonts w:asciiTheme="minorHAnsi" w:eastAsiaTheme="minorHAnsi" w:hAnsiTheme="minorHAnsi" w:cstheme="minorHAnsi"/>
          <w:b/>
          <w:bCs/>
        </w:rPr>
        <w:t>Prime Town Centre Yields</w:t>
      </w:r>
    </w:p>
    <w:p w14:paraId="1D221845" w14:textId="77777777" w:rsidR="00530EA9" w:rsidRPr="00CD72DB" w:rsidRDefault="00530EA9" w:rsidP="00530EA9">
      <w:pPr>
        <w:spacing w:line="360" w:lineRule="auto"/>
        <w:jc w:val="both"/>
        <w:rPr>
          <w:rFonts w:asciiTheme="minorHAnsi" w:eastAsiaTheme="minorHAnsi" w:hAnsiTheme="minorHAnsi" w:cstheme="minorHAnsi"/>
          <w:b/>
          <w:bCs/>
        </w:rPr>
      </w:pPr>
      <w:r>
        <w:rPr>
          <w:noProof/>
        </w:rPr>
        <w:drawing>
          <wp:inline distT="0" distB="0" distL="0" distR="0" wp14:anchorId="204C8B7F" wp14:editId="7DA144AB">
            <wp:extent cx="4841715" cy="2602448"/>
            <wp:effectExtent l="0" t="0" r="0" b="1270"/>
            <wp:docPr id="156" name="Picture 15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Chart, line chart&#10;&#10;Description automatically generated"/>
                    <pic:cNvPicPr/>
                  </pic:nvPicPr>
                  <pic:blipFill>
                    <a:blip r:embed="rId15"/>
                    <a:stretch>
                      <a:fillRect/>
                    </a:stretch>
                  </pic:blipFill>
                  <pic:spPr>
                    <a:xfrm>
                      <a:off x="0" y="0"/>
                      <a:ext cx="4940118" cy="2655340"/>
                    </a:xfrm>
                    <a:prstGeom prst="rect">
                      <a:avLst/>
                    </a:prstGeom>
                  </pic:spPr>
                </pic:pic>
              </a:graphicData>
            </a:graphic>
          </wp:inline>
        </w:drawing>
      </w:r>
    </w:p>
    <w:p w14:paraId="55F12CB2" w14:textId="2ED45992" w:rsidR="00530EA9" w:rsidRPr="00530EA9" w:rsidRDefault="00530EA9" w:rsidP="00530EA9">
      <w:pPr>
        <w:rPr>
          <w:rFonts w:asciiTheme="minorHAnsi" w:eastAsiaTheme="minorHAnsi" w:hAnsiTheme="minorHAnsi" w:cstheme="minorHAnsi"/>
          <w:sz w:val="20"/>
          <w:szCs w:val="20"/>
        </w:rPr>
      </w:pPr>
      <w:r w:rsidRPr="00F46539">
        <w:rPr>
          <w:rFonts w:asciiTheme="minorHAnsi" w:eastAsiaTheme="minorHAnsi" w:hAnsiTheme="minorHAnsi" w:cstheme="minorHAnsi"/>
          <w:sz w:val="20"/>
          <w:szCs w:val="20"/>
        </w:rPr>
        <w:t>Source: Cushman and Wakefield</w:t>
      </w:r>
      <w:r>
        <w:rPr>
          <w:rFonts w:asciiTheme="minorHAnsi" w:eastAsiaTheme="minorHAnsi" w:hAnsiTheme="minorHAnsi" w:cstheme="minorHAnsi"/>
          <w:sz w:val="20"/>
          <w:szCs w:val="20"/>
        </w:rPr>
        <w:t>, cited in PMA (2021)</w:t>
      </w:r>
    </w:p>
    <w:p w14:paraId="5DFE67B3" w14:textId="7CE62B12" w:rsidR="00530EA9" w:rsidRDefault="00530EA9" w:rsidP="00530EA9">
      <w:pPr>
        <w:spacing w:line="360" w:lineRule="auto"/>
        <w:jc w:val="both"/>
        <w:rPr>
          <w:rFonts w:asciiTheme="minorHAnsi" w:eastAsiaTheme="minorHAnsi" w:hAnsiTheme="minorHAnsi" w:cstheme="minorHAnsi"/>
        </w:rPr>
      </w:pPr>
      <w:r>
        <w:rPr>
          <w:rFonts w:asciiTheme="minorHAnsi" w:eastAsiaTheme="minorHAnsi" w:hAnsiTheme="minorHAnsi" w:cstheme="minorHAnsi"/>
        </w:rPr>
        <w:lastRenderedPageBreak/>
        <w:t>The trends occurring in the letting market are reflected in prime yields in the investment market. The lower rental growth and higher risks attached to retail investments in Hull are reflected in the city’s higher investment yields although what is noticeable is the divergence since 2010 (see Figure 6). This may be picking up decreasing vitality in this centre which is almost certainly linked to the closure of many high profile retailers and rising vacancy rates in the city centre (See Figures 7).</w:t>
      </w:r>
    </w:p>
    <w:p w14:paraId="5EB9C1E1" w14:textId="77777777" w:rsidR="00AD4C57" w:rsidRDefault="00AD4C57" w:rsidP="00992002">
      <w:pPr>
        <w:spacing w:line="360" w:lineRule="auto"/>
        <w:jc w:val="both"/>
        <w:rPr>
          <w:rFonts w:asciiTheme="minorHAnsi" w:eastAsiaTheme="minorHAnsi" w:hAnsiTheme="minorHAnsi" w:cstheme="minorHAnsi"/>
        </w:rPr>
      </w:pPr>
    </w:p>
    <w:p w14:paraId="7D291095" w14:textId="16BC1323" w:rsidR="006C670C" w:rsidRPr="006A6BC7" w:rsidRDefault="006C670C" w:rsidP="006C670C">
      <w:pPr>
        <w:spacing w:line="360" w:lineRule="auto"/>
        <w:jc w:val="both"/>
        <w:rPr>
          <w:rFonts w:asciiTheme="minorHAnsi" w:eastAsiaTheme="minorHAnsi" w:hAnsiTheme="minorHAnsi" w:cstheme="minorHAnsi"/>
          <w:b/>
          <w:bCs/>
        </w:rPr>
      </w:pPr>
      <w:r w:rsidRPr="006A6BC7">
        <w:rPr>
          <w:rFonts w:asciiTheme="minorHAnsi" w:eastAsiaTheme="minorHAnsi" w:hAnsiTheme="minorHAnsi" w:cstheme="minorHAnsi"/>
          <w:b/>
          <w:bCs/>
        </w:rPr>
        <w:t>F</w:t>
      </w:r>
      <w:bookmarkStart w:id="4" w:name="OLE_LINK8"/>
      <w:bookmarkStart w:id="5" w:name="OLE_LINK9"/>
      <w:r w:rsidRPr="006A6BC7">
        <w:rPr>
          <w:rFonts w:asciiTheme="minorHAnsi" w:eastAsiaTheme="minorHAnsi" w:hAnsiTheme="minorHAnsi" w:cstheme="minorHAnsi"/>
          <w:b/>
          <w:bCs/>
        </w:rPr>
        <w:t xml:space="preserve">igure </w:t>
      </w:r>
      <w:r w:rsidR="00530EA9">
        <w:rPr>
          <w:rFonts w:asciiTheme="minorHAnsi" w:eastAsiaTheme="minorHAnsi" w:hAnsiTheme="minorHAnsi" w:cstheme="minorHAnsi"/>
          <w:b/>
          <w:bCs/>
        </w:rPr>
        <w:t>7</w:t>
      </w:r>
      <w:r w:rsidRPr="006A6BC7">
        <w:rPr>
          <w:rFonts w:asciiTheme="minorHAnsi" w:eastAsiaTheme="minorHAnsi" w:hAnsiTheme="minorHAnsi" w:cstheme="minorHAnsi"/>
          <w:b/>
          <w:bCs/>
        </w:rPr>
        <w:t xml:space="preserve">. </w:t>
      </w:r>
      <w:r>
        <w:rPr>
          <w:rFonts w:asciiTheme="minorHAnsi" w:eastAsiaTheme="minorHAnsi" w:hAnsiTheme="minorHAnsi" w:cstheme="minorHAnsi"/>
          <w:b/>
          <w:bCs/>
        </w:rPr>
        <w:t xml:space="preserve"> </w:t>
      </w:r>
      <w:r w:rsidRPr="006A6BC7">
        <w:rPr>
          <w:rFonts w:asciiTheme="minorHAnsi" w:eastAsiaTheme="minorHAnsi" w:hAnsiTheme="minorHAnsi" w:cstheme="minorHAnsi"/>
          <w:b/>
          <w:bCs/>
        </w:rPr>
        <w:t>Vacancy Rates</w:t>
      </w:r>
    </w:p>
    <w:tbl>
      <w:tblPr>
        <w:tblW w:w="0" w:type="auto"/>
        <w:tblLook w:val="04A0" w:firstRow="1" w:lastRow="0" w:firstColumn="1" w:lastColumn="0" w:noHBand="0" w:noVBand="1"/>
      </w:tblPr>
      <w:tblGrid>
        <w:gridCol w:w="4499"/>
        <w:gridCol w:w="4913"/>
      </w:tblGrid>
      <w:tr w:rsidR="00AB59DF" w14:paraId="7CD2273F" w14:textId="77777777" w:rsidTr="00AB59DF">
        <w:tc>
          <w:tcPr>
            <w:tcW w:w="3201" w:type="dxa"/>
          </w:tcPr>
          <w:p w14:paraId="2B6E1E6A" w14:textId="77777777" w:rsidR="006C670C" w:rsidRDefault="006C670C" w:rsidP="0072608B">
            <w:pPr>
              <w:spacing w:line="360" w:lineRule="auto"/>
              <w:jc w:val="both"/>
              <w:rPr>
                <w:rFonts w:asciiTheme="minorHAnsi" w:eastAsiaTheme="minorHAnsi" w:hAnsiTheme="minorHAnsi" w:cstheme="minorHAnsi"/>
              </w:rPr>
            </w:pPr>
            <w:r>
              <w:rPr>
                <w:rFonts w:asciiTheme="minorHAnsi" w:eastAsiaTheme="minorHAnsi" w:hAnsiTheme="minorHAnsi" w:cstheme="minorHAnsi"/>
              </w:rPr>
              <w:t xml:space="preserve">(a) Prime </w:t>
            </w:r>
          </w:p>
        </w:tc>
        <w:tc>
          <w:tcPr>
            <w:tcW w:w="6211" w:type="dxa"/>
          </w:tcPr>
          <w:p w14:paraId="3A918CC5" w14:textId="77777777" w:rsidR="006C670C" w:rsidRDefault="006C670C" w:rsidP="0072608B">
            <w:pPr>
              <w:spacing w:line="360" w:lineRule="auto"/>
              <w:jc w:val="both"/>
              <w:rPr>
                <w:rFonts w:asciiTheme="minorHAnsi" w:eastAsiaTheme="minorHAnsi" w:hAnsiTheme="minorHAnsi" w:cstheme="minorHAnsi"/>
              </w:rPr>
            </w:pPr>
            <w:r>
              <w:rPr>
                <w:rFonts w:asciiTheme="minorHAnsi" w:eastAsiaTheme="minorHAnsi" w:hAnsiTheme="minorHAnsi" w:cstheme="minorHAnsi"/>
              </w:rPr>
              <w:t xml:space="preserve">(b) Town Centre </w:t>
            </w:r>
          </w:p>
        </w:tc>
      </w:tr>
      <w:tr w:rsidR="00AB59DF" w14:paraId="643C3DF5" w14:textId="77777777" w:rsidTr="00AB59DF">
        <w:tc>
          <w:tcPr>
            <w:tcW w:w="3201" w:type="dxa"/>
          </w:tcPr>
          <w:p w14:paraId="2538993E" w14:textId="47EEE023" w:rsidR="006C670C" w:rsidRPr="00AB59DF" w:rsidRDefault="00AD4C57" w:rsidP="00AB59DF">
            <w:pPr>
              <w:spacing w:line="360" w:lineRule="auto"/>
              <w:jc w:val="center"/>
              <w:rPr>
                <w:rFonts w:asciiTheme="minorHAnsi" w:eastAsiaTheme="minorHAnsi" w:hAnsiTheme="minorHAnsi" w:cstheme="minorHAnsi"/>
                <w:sz w:val="10"/>
                <w:szCs w:val="10"/>
              </w:rPr>
            </w:pPr>
            <w:r w:rsidRPr="00AB59DF">
              <w:rPr>
                <w:noProof/>
                <w:sz w:val="10"/>
                <w:szCs w:val="10"/>
              </w:rPr>
              <w:drawing>
                <wp:inline distT="0" distB="0" distL="0" distR="0" wp14:anchorId="321982D2" wp14:editId="58050525">
                  <wp:extent cx="2720021" cy="1886849"/>
                  <wp:effectExtent l="0" t="0" r="0" b="571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3298" cy="1902996"/>
                          </a:xfrm>
                          <a:prstGeom prst="rect">
                            <a:avLst/>
                          </a:prstGeom>
                        </pic:spPr>
                      </pic:pic>
                    </a:graphicData>
                  </a:graphic>
                </wp:inline>
              </w:drawing>
            </w:r>
          </w:p>
        </w:tc>
        <w:tc>
          <w:tcPr>
            <w:tcW w:w="6211" w:type="dxa"/>
          </w:tcPr>
          <w:p w14:paraId="075BB505" w14:textId="7234F11D" w:rsidR="006C670C" w:rsidRPr="00AB59DF" w:rsidRDefault="00AB59DF" w:rsidP="00AB59DF">
            <w:pPr>
              <w:spacing w:line="360" w:lineRule="auto"/>
              <w:jc w:val="center"/>
              <w:rPr>
                <w:rFonts w:asciiTheme="minorHAnsi" w:eastAsiaTheme="minorHAnsi" w:hAnsiTheme="minorHAnsi" w:cstheme="minorHAnsi"/>
                <w:sz w:val="10"/>
                <w:szCs w:val="10"/>
              </w:rPr>
            </w:pPr>
            <w:r w:rsidRPr="00AB59DF">
              <w:rPr>
                <w:noProof/>
                <w:sz w:val="10"/>
                <w:szCs w:val="10"/>
              </w:rPr>
              <w:drawing>
                <wp:inline distT="0" distB="0" distL="0" distR="0" wp14:anchorId="7412CAE9" wp14:editId="617FD616">
                  <wp:extent cx="2778190" cy="1886585"/>
                  <wp:effectExtent l="0" t="0" r="3175" b="571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03171" cy="1903549"/>
                          </a:xfrm>
                          <a:prstGeom prst="rect">
                            <a:avLst/>
                          </a:prstGeom>
                        </pic:spPr>
                      </pic:pic>
                    </a:graphicData>
                  </a:graphic>
                </wp:inline>
              </w:drawing>
            </w:r>
          </w:p>
        </w:tc>
      </w:tr>
      <w:tr w:rsidR="00AB59DF" w14:paraId="1B7A4360" w14:textId="77777777" w:rsidTr="00AB59DF">
        <w:trPr>
          <w:trHeight w:val="283"/>
        </w:trPr>
        <w:tc>
          <w:tcPr>
            <w:tcW w:w="3201" w:type="dxa"/>
          </w:tcPr>
          <w:p w14:paraId="7621C23B" w14:textId="639F799D" w:rsidR="006C670C" w:rsidRPr="00F93AF6" w:rsidRDefault="006C670C" w:rsidP="0072608B">
            <w:pPr>
              <w:spacing w:line="360" w:lineRule="auto"/>
              <w:jc w:val="both"/>
              <w:rPr>
                <w:rFonts w:asciiTheme="minorHAnsi" w:hAnsiTheme="minorHAnsi" w:cstheme="minorHAnsi"/>
                <w:noProof/>
                <w:sz w:val="20"/>
                <w:szCs w:val="20"/>
              </w:rPr>
            </w:pPr>
            <w:r w:rsidRPr="00F93AF6">
              <w:rPr>
                <w:rFonts w:asciiTheme="minorHAnsi" w:hAnsiTheme="minorHAnsi" w:cstheme="minorHAnsi"/>
                <w:noProof/>
                <w:sz w:val="20"/>
                <w:szCs w:val="20"/>
              </w:rPr>
              <w:t>Source: PMA (202</w:t>
            </w:r>
            <w:r w:rsidR="00F93AF6" w:rsidRPr="00F93AF6">
              <w:rPr>
                <w:rFonts w:asciiTheme="minorHAnsi" w:hAnsiTheme="minorHAnsi" w:cstheme="minorHAnsi"/>
                <w:noProof/>
                <w:sz w:val="20"/>
                <w:szCs w:val="20"/>
              </w:rPr>
              <w:t>1</w:t>
            </w:r>
            <w:r w:rsidRPr="00F93AF6">
              <w:rPr>
                <w:rFonts w:asciiTheme="minorHAnsi" w:hAnsiTheme="minorHAnsi" w:cstheme="minorHAnsi"/>
                <w:noProof/>
                <w:sz w:val="20"/>
                <w:szCs w:val="20"/>
              </w:rPr>
              <w:t>)</w:t>
            </w:r>
          </w:p>
        </w:tc>
        <w:tc>
          <w:tcPr>
            <w:tcW w:w="6211" w:type="dxa"/>
          </w:tcPr>
          <w:p w14:paraId="082556A9" w14:textId="77777777" w:rsidR="006C670C" w:rsidRPr="00F93AF6" w:rsidRDefault="006C670C" w:rsidP="0072608B">
            <w:pPr>
              <w:spacing w:line="360" w:lineRule="auto"/>
              <w:jc w:val="both"/>
              <w:rPr>
                <w:noProof/>
                <w:sz w:val="20"/>
                <w:szCs w:val="20"/>
              </w:rPr>
            </w:pPr>
          </w:p>
        </w:tc>
      </w:tr>
      <w:bookmarkEnd w:id="4"/>
      <w:bookmarkEnd w:id="5"/>
    </w:tbl>
    <w:p w14:paraId="3C777345" w14:textId="77777777" w:rsidR="006C670C" w:rsidRDefault="006C670C" w:rsidP="006C670C">
      <w:pPr>
        <w:spacing w:line="360" w:lineRule="auto"/>
      </w:pPr>
    </w:p>
    <w:p w14:paraId="7A997D58" w14:textId="5707C00C" w:rsidR="007B011A" w:rsidRPr="00AD4C57" w:rsidRDefault="006C670C" w:rsidP="00AD4C57">
      <w:pPr>
        <w:spacing w:line="360" w:lineRule="auto"/>
        <w:jc w:val="both"/>
        <w:rPr>
          <w:rFonts w:asciiTheme="minorHAnsi" w:eastAsiaTheme="minorHAnsi" w:hAnsiTheme="minorHAnsi" w:cstheme="minorHAnsi"/>
        </w:rPr>
      </w:pPr>
      <w:r>
        <w:rPr>
          <w:rFonts w:asciiTheme="minorHAnsi" w:eastAsiaTheme="minorHAnsi" w:hAnsiTheme="minorHAnsi" w:cstheme="minorHAnsi"/>
        </w:rPr>
        <w:t>Yields</w:t>
      </w:r>
      <w:r w:rsidR="00233862">
        <w:rPr>
          <w:rFonts w:asciiTheme="minorHAnsi" w:eastAsiaTheme="minorHAnsi" w:hAnsiTheme="minorHAnsi" w:cstheme="minorHAnsi"/>
        </w:rPr>
        <w:t xml:space="preserve"> </w:t>
      </w:r>
      <w:r>
        <w:rPr>
          <w:rFonts w:asciiTheme="minorHAnsi" w:eastAsiaTheme="minorHAnsi" w:hAnsiTheme="minorHAnsi" w:cstheme="minorHAnsi"/>
        </w:rPr>
        <w:t xml:space="preserve">in the other four cites </w:t>
      </w:r>
      <w:r w:rsidR="00233862">
        <w:rPr>
          <w:rFonts w:asciiTheme="minorHAnsi" w:eastAsiaTheme="minorHAnsi" w:hAnsiTheme="minorHAnsi" w:cstheme="minorHAnsi"/>
        </w:rPr>
        <w:t xml:space="preserve">(as shown in Figure </w:t>
      </w:r>
      <w:r w:rsidR="00530EA9">
        <w:rPr>
          <w:rFonts w:asciiTheme="minorHAnsi" w:eastAsiaTheme="minorHAnsi" w:hAnsiTheme="minorHAnsi" w:cstheme="minorHAnsi"/>
        </w:rPr>
        <w:t>6</w:t>
      </w:r>
      <w:r w:rsidR="00233862">
        <w:rPr>
          <w:rFonts w:asciiTheme="minorHAnsi" w:eastAsiaTheme="minorHAnsi" w:hAnsiTheme="minorHAnsi" w:cstheme="minorHAnsi"/>
        </w:rPr>
        <w:t xml:space="preserve">) </w:t>
      </w:r>
      <w:r>
        <w:rPr>
          <w:rFonts w:asciiTheme="minorHAnsi" w:eastAsiaTheme="minorHAnsi" w:hAnsiTheme="minorHAnsi" w:cstheme="minorHAnsi"/>
        </w:rPr>
        <w:t xml:space="preserve">have tended to fluctuate together with higher rental growth expectations, </w:t>
      </w:r>
      <w:r w:rsidR="00530EA9">
        <w:rPr>
          <w:rFonts w:asciiTheme="minorHAnsi" w:eastAsiaTheme="minorHAnsi" w:hAnsiTheme="minorHAnsi" w:cstheme="minorHAnsi"/>
        </w:rPr>
        <w:t xml:space="preserve">relatively </w:t>
      </w:r>
      <w:r>
        <w:rPr>
          <w:rFonts w:asciiTheme="minorHAnsi" w:eastAsiaTheme="minorHAnsi" w:hAnsiTheme="minorHAnsi" w:cstheme="minorHAnsi"/>
        </w:rPr>
        <w:t>lower prime vacancies and higher investment confidence in Glasgow appear</w:t>
      </w:r>
      <w:r w:rsidR="00530EA9">
        <w:rPr>
          <w:rFonts w:asciiTheme="minorHAnsi" w:eastAsiaTheme="minorHAnsi" w:hAnsiTheme="minorHAnsi" w:cstheme="minorHAnsi"/>
        </w:rPr>
        <w:t>ing</w:t>
      </w:r>
      <w:r>
        <w:rPr>
          <w:rFonts w:asciiTheme="minorHAnsi" w:eastAsiaTheme="minorHAnsi" w:hAnsiTheme="minorHAnsi" w:cstheme="minorHAnsi"/>
        </w:rPr>
        <w:t xml:space="preserve"> to have pushed yields down in Glasgow over the last decade. A noticeable point in Glasgow is the rising city centre vacancies across the time period, like Hull, Liverpool and Nottingham, but </w:t>
      </w:r>
      <w:r w:rsidR="00233862">
        <w:rPr>
          <w:rFonts w:asciiTheme="minorHAnsi" w:eastAsiaTheme="minorHAnsi" w:hAnsiTheme="minorHAnsi" w:cstheme="minorHAnsi"/>
        </w:rPr>
        <w:t xml:space="preserve">the </w:t>
      </w:r>
      <w:r>
        <w:rPr>
          <w:rFonts w:asciiTheme="minorHAnsi" w:eastAsiaTheme="minorHAnsi" w:hAnsiTheme="minorHAnsi" w:cstheme="minorHAnsi"/>
        </w:rPr>
        <w:t>vacanc</w:t>
      </w:r>
      <w:r w:rsidR="00233862">
        <w:rPr>
          <w:rFonts w:asciiTheme="minorHAnsi" w:eastAsiaTheme="minorHAnsi" w:hAnsiTheme="minorHAnsi" w:cstheme="minorHAnsi"/>
        </w:rPr>
        <w:t>y rate</w:t>
      </w:r>
      <w:r>
        <w:rPr>
          <w:rFonts w:asciiTheme="minorHAnsi" w:eastAsiaTheme="minorHAnsi" w:hAnsiTheme="minorHAnsi" w:cstheme="minorHAnsi"/>
        </w:rPr>
        <w:t xml:space="preserve"> </w:t>
      </w:r>
      <w:r w:rsidR="00233862">
        <w:rPr>
          <w:rFonts w:asciiTheme="minorHAnsi" w:eastAsiaTheme="minorHAnsi" w:hAnsiTheme="minorHAnsi" w:cstheme="minorHAnsi"/>
        </w:rPr>
        <w:t>on the prime retailing pitch, as</w:t>
      </w:r>
      <w:r>
        <w:rPr>
          <w:rFonts w:asciiTheme="minorHAnsi" w:eastAsiaTheme="minorHAnsi" w:hAnsiTheme="minorHAnsi" w:cstheme="minorHAnsi"/>
        </w:rPr>
        <w:t xml:space="preserve"> reported by PMA (202</w:t>
      </w:r>
      <w:r w:rsidR="00530EA9">
        <w:rPr>
          <w:rFonts w:asciiTheme="minorHAnsi" w:eastAsiaTheme="minorHAnsi" w:hAnsiTheme="minorHAnsi" w:cstheme="minorHAnsi"/>
        </w:rPr>
        <w:t>1</w:t>
      </w:r>
      <w:r>
        <w:rPr>
          <w:rFonts w:asciiTheme="minorHAnsi" w:eastAsiaTheme="minorHAnsi" w:hAnsiTheme="minorHAnsi" w:cstheme="minorHAnsi"/>
        </w:rPr>
        <w:t>)</w:t>
      </w:r>
      <w:r w:rsidR="00233862">
        <w:rPr>
          <w:rFonts w:asciiTheme="minorHAnsi" w:eastAsiaTheme="minorHAnsi" w:hAnsiTheme="minorHAnsi" w:cstheme="minorHAnsi"/>
        </w:rPr>
        <w:t>,</w:t>
      </w:r>
      <w:r>
        <w:rPr>
          <w:rFonts w:asciiTheme="minorHAnsi" w:eastAsiaTheme="minorHAnsi" w:hAnsiTheme="minorHAnsi" w:cstheme="minorHAnsi"/>
        </w:rPr>
        <w:t xml:space="preserve"> has been </w:t>
      </w:r>
      <w:r w:rsidR="00530EA9">
        <w:rPr>
          <w:rFonts w:asciiTheme="minorHAnsi" w:eastAsiaTheme="minorHAnsi" w:hAnsiTheme="minorHAnsi" w:cstheme="minorHAnsi"/>
        </w:rPr>
        <w:t>noticeable lower</w:t>
      </w:r>
      <w:r w:rsidR="00217F90">
        <w:rPr>
          <w:rFonts w:asciiTheme="minorHAnsi" w:eastAsiaTheme="minorHAnsi" w:hAnsiTheme="minorHAnsi" w:cstheme="minorHAnsi"/>
        </w:rPr>
        <w:t xml:space="preserve"> up to 2017</w:t>
      </w:r>
      <w:r>
        <w:rPr>
          <w:rFonts w:asciiTheme="minorHAnsi" w:eastAsiaTheme="minorHAnsi" w:hAnsiTheme="minorHAnsi" w:cstheme="minorHAnsi"/>
        </w:rPr>
        <w:t xml:space="preserve">. </w:t>
      </w:r>
      <w:r w:rsidR="00233862">
        <w:rPr>
          <w:rFonts w:asciiTheme="minorHAnsi" w:eastAsiaTheme="minorHAnsi" w:hAnsiTheme="minorHAnsi" w:cstheme="minorHAnsi"/>
        </w:rPr>
        <w:t xml:space="preserve">The contrast between zero </w:t>
      </w:r>
      <w:r w:rsidR="00217F90">
        <w:rPr>
          <w:rFonts w:asciiTheme="minorHAnsi" w:eastAsiaTheme="minorHAnsi" w:hAnsiTheme="minorHAnsi" w:cstheme="minorHAnsi"/>
        </w:rPr>
        <w:t xml:space="preserve">or significantly lower </w:t>
      </w:r>
      <w:r w:rsidR="00233862">
        <w:rPr>
          <w:rFonts w:asciiTheme="minorHAnsi" w:eastAsiaTheme="minorHAnsi" w:hAnsiTheme="minorHAnsi" w:cstheme="minorHAnsi"/>
        </w:rPr>
        <w:t>vacancies on the prime retailing pitches when there are vacancies within the wider town centre is</w:t>
      </w:r>
      <w:r>
        <w:rPr>
          <w:rFonts w:asciiTheme="minorHAnsi" w:eastAsiaTheme="minorHAnsi" w:hAnsiTheme="minorHAnsi" w:cstheme="minorHAnsi"/>
        </w:rPr>
        <w:t xml:space="preserve"> also evident in</w:t>
      </w:r>
      <w:r w:rsidR="00233862">
        <w:rPr>
          <w:rFonts w:asciiTheme="minorHAnsi" w:eastAsiaTheme="minorHAnsi" w:hAnsiTheme="minorHAnsi" w:cstheme="minorHAnsi"/>
        </w:rPr>
        <w:t xml:space="preserve"> other</w:t>
      </w:r>
      <w:r>
        <w:rPr>
          <w:rFonts w:asciiTheme="minorHAnsi" w:eastAsiaTheme="minorHAnsi" w:hAnsiTheme="minorHAnsi" w:cstheme="minorHAnsi"/>
        </w:rPr>
        <w:t xml:space="preserve"> cities a</w:t>
      </w:r>
      <w:r w:rsidR="00233862">
        <w:rPr>
          <w:rFonts w:asciiTheme="minorHAnsi" w:eastAsiaTheme="minorHAnsi" w:hAnsiTheme="minorHAnsi" w:cstheme="minorHAnsi"/>
        </w:rPr>
        <w:t>t</w:t>
      </w:r>
      <w:r>
        <w:rPr>
          <w:rFonts w:asciiTheme="minorHAnsi" w:eastAsiaTheme="minorHAnsi" w:hAnsiTheme="minorHAnsi" w:cstheme="minorHAnsi"/>
        </w:rPr>
        <w:t xml:space="preserve"> different points in time suggesting spatial variation which is giving rise to polarisation in the prime and secondary/tertiary retailing locations, and the prime rents and yields, often used as vitality and viability indicators, are not picking up what is happening across retailing centres. Further, the vacancy rate </w:t>
      </w:r>
      <w:r w:rsidR="00217F90">
        <w:rPr>
          <w:rFonts w:asciiTheme="minorHAnsi" w:eastAsiaTheme="minorHAnsi" w:hAnsiTheme="minorHAnsi" w:cstheme="minorHAnsi"/>
        </w:rPr>
        <w:t>across</w:t>
      </w:r>
      <w:r>
        <w:rPr>
          <w:rFonts w:asciiTheme="minorHAnsi" w:eastAsiaTheme="minorHAnsi" w:hAnsiTheme="minorHAnsi" w:cstheme="minorHAnsi"/>
        </w:rPr>
        <w:t xml:space="preserve"> Edinburgh</w:t>
      </w:r>
      <w:r w:rsidR="00217F90">
        <w:rPr>
          <w:rFonts w:asciiTheme="minorHAnsi" w:eastAsiaTheme="minorHAnsi" w:hAnsiTheme="minorHAnsi" w:cstheme="minorHAnsi"/>
        </w:rPr>
        <w:t>’s centre</w:t>
      </w:r>
      <w:r>
        <w:rPr>
          <w:rFonts w:asciiTheme="minorHAnsi" w:eastAsiaTheme="minorHAnsi" w:hAnsiTheme="minorHAnsi" w:cstheme="minorHAnsi"/>
        </w:rPr>
        <w:t xml:space="preserve"> has been lowest 2010 to 20</w:t>
      </w:r>
      <w:r w:rsidR="00217F90">
        <w:rPr>
          <w:rFonts w:asciiTheme="minorHAnsi" w:eastAsiaTheme="minorHAnsi" w:hAnsiTheme="minorHAnsi" w:cstheme="minorHAnsi"/>
        </w:rPr>
        <w:t>20</w:t>
      </w:r>
      <w:r>
        <w:rPr>
          <w:rFonts w:asciiTheme="minorHAnsi" w:eastAsiaTheme="minorHAnsi" w:hAnsiTheme="minorHAnsi" w:cstheme="minorHAnsi"/>
        </w:rPr>
        <w:t xml:space="preserve">, possibly explaining why it is placed so highly in the rankings, but the jump in </w:t>
      </w:r>
      <w:r w:rsidR="00217F90">
        <w:rPr>
          <w:rFonts w:asciiTheme="minorHAnsi" w:eastAsiaTheme="minorHAnsi" w:hAnsiTheme="minorHAnsi" w:cstheme="minorHAnsi"/>
        </w:rPr>
        <w:t xml:space="preserve">prime </w:t>
      </w:r>
      <w:r>
        <w:rPr>
          <w:rFonts w:asciiTheme="minorHAnsi" w:eastAsiaTheme="minorHAnsi" w:hAnsiTheme="minorHAnsi" w:cstheme="minorHAnsi"/>
        </w:rPr>
        <w:t>vacancies in 201</w:t>
      </w:r>
      <w:r w:rsidR="00217F90">
        <w:rPr>
          <w:rFonts w:asciiTheme="minorHAnsi" w:eastAsiaTheme="minorHAnsi" w:hAnsiTheme="minorHAnsi" w:cstheme="minorHAnsi"/>
        </w:rPr>
        <w:t xml:space="preserve">7 suggests there are </w:t>
      </w:r>
      <w:r>
        <w:rPr>
          <w:rFonts w:asciiTheme="minorHAnsi" w:eastAsiaTheme="minorHAnsi" w:hAnsiTheme="minorHAnsi" w:cstheme="minorHAnsi"/>
        </w:rPr>
        <w:t>disproportionate effect</w:t>
      </w:r>
      <w:r w:rsidR="00217F90">
        <w:rPr>
          <w:rFonts w:asciiTheme="minorHAnsi" w:eastAsiaTheme="minorHAnsi" w:hAnsiTheme="minorHAnsi" w:cstheme="minorHAnsi"/>
        </w:rPr>
        <w:t>s on</w:t>
      </w:r>
      <w:r>
        <w:rPr>
          <w:rFonts w:asciiTheme="minorHAnsi" w:eastAsiaTheme="minorHAnsi" w:hAnsiTheme="minorHAnsi" w:cstheme="minorHAnsi"/>
        </w:rPr>
        <w:t xml:space="preserve"> prime retail units. A similar surge in prime vacancies occurred in Nottingham in 20</w:t>
      </w:r>
      <w:r w:rsidR="00217F90">
        <w:rPr>
          <w:rFonts w:asciiTheme="minorHAnsi" w:eastAsiaTheme="minorHAnsi" w:hAnsiTheme="minorHAnsi" w:cstheme="minorHAnsi"/>
        </w:rPr>
        <w:t>20</w:t>
      </w:r>
      <w:r>
        <w:rPr>
          <w:rFonts w:asciiTheme="minorHAnsi" w:eastAsiaTheme="minorHAnsi" w:hAnsiTheme="minorHAnsi" w:cstheme="minorHAnsi"/>
        </w:rPr>
        <w:t xml:space="preserve">. Again suggesting different retailing locations in the </w:t>
      </w:r>
      <w:r>
        <w:rPr>
          <w:rFonts w:asciiTheme="minorHAnsi" w:eastAsiaTheme="minorHAnsi" w:hAnsiTheme="minorHAnsi" w:cstheme="minorHAnsi"/>
        </w:rPr>
        <w:lastRenderedPageBreak/>
        <w:t>city centre are behaving differently although in these instances the spikes could be linked to the closure of large retailers which typically formed part of the prime retail area.</w:t>
      </w:r>
    </w:p>
    <w:p w14:paraId="4072F4BE" w14:textId="77777777" w:rsidR="00217F90" w:rsidRDefault="00217F90" w:rsidP="00597B09">
      <w:pPr>
        <w:spacing w:line="360" w:lineRule="auto"/>
        <w:jc w:val="both"/>
        <w:rPr>
          <w:rFonts w:asciiTheme="minorHAnsi" w:eastAsiaTheme="minorHAnsi" w:hAnsiTheme="minorHAnsi" w:cstheme="minorHAnsi"/>
          <w:b/>
          <w:bCs/>
        </w:rPr>
      </w:pPr>
    </w:p>
    <w:p w14:paraId="45F3456F" w14:textId="75CFD032" w:rsidR="00474093" w:rsidRPr="00520A5D" w:rsidRDefault="00520A5D" w:rsidP="00597B09">
      <w:pPr>
        <w:spacing w:line="360" w:lineRule="auto"/>
        <w:jc w:val="both"/>
        <w:rPr>
          <w:rFonts w:asciiTheme="minorHAnsi" w:hAnsiTheme="minorHAnsi" w:cstheme="minorHAnsi"/>
          <w:lang w:eastAsia="en-US"/>
        </w:rPr>
      </w:pPr>
      <w:r w:rsidRPr="00520A5D">
        <w:rPr>
          <w:rFonts w:asciiTheme="minorHAnsi" w:hAnsiTheme="minorHAnsi" w:cstheme="minorHAnsi"/>
          <w:lang w:eastAsia="en-US"/>
        </w:rPr>
        <w:t>It is the mixed fortunes of these city centres that underpin the rationale for selecting these five northern cities for study.</w:t>
      </w:r>
      <w:r>
        <w:rPr>
          <w:rFonts w:asciiTheme="minorHAnsi" w:hAnsiTheme="minorHAnsi" w:cstheme="minorHAnsi"/>
          <w:lang w:eastAsia="en-US"/>
        </w:rPr>
        <w:t xml:space="preserve"> At times their performances have contrasted while at other times behaved similarly. Furthermore, the stability of some centres and reversals in </w:t>
      </w:r>
      <w:r w:rsidR="002C1A24">
        <w:rPr>
          <w:rFonts w:asciiTheme="minorHAnsi" w:hAnsiTheme="minorHAnsi" w:cstheme="minorHAnsi"/>
          <w:lang w:eastAsia="en-US"/>
        </w:rPr>
        <w:t xml:space="preserve">the </w:t>
      </w:r>
      <w:r>
        <w:rPr>
          <w:rFonts w:asciiTheme="minorHAnsi" w:hAnsiTheme="minorHAnsi" w:cstheme="minorHAnsi"/>
          <w:lang w:eastAsia="en-US"/>
        </w:rPr>
        <w:t>rank</w:t>
      </w:r>
      <w:r w:rsidR="002C1A24">
        <w:rPr>
          <w:rFonts w:asciiTheme="minorHAnsi" w:hAnsiTheme="minorHAnsi" w:cstheme="minorHAnsi"/>
          <w:lang w:eastAsia="en-US"/>
        </w:rPr>
        <w:t>ing</w:t>
      </w:r>
      <w:r>
        <w:rPr>
          <w:rFonts w:asciiTheme="minorHAnsi" w:hAnsiTheme="minorHAnsi" w:cstheme="minorHAnsi"/>
          <w:lang w:eastAsia="en-US"/>
        </w:rPr>
        <w:t xml:space="preserve"> of others </w:t>
      </w:r>
      <w:r w:rsidR="002C1A24">
        <w:rPr>
          <w:rFonts w:asciiTheme="minorHAnsi" w:hAnsiTheme="minorHAnsi" w:cstheme="minorHAnsi"/>
          <w:lang w:eastAsia="en-US"/>
        </w:rPr>
        <w:t xml:space="preserve">provide a </w:t>
      </w:r>
      <w:r w:rsidR="00414684">
        <w:rPr>
          <w:rFonts w:asciiTheme="minorHAnsi" w:hAnsiTheme="minorHAnsi" w:cstheme="minorHAnsi"/>
          <w:lang w:eastAsia="en-US"/>
        </w:rPr>
        <w:t>breadth</w:t>
      </w:r>
      <w:r w:rsidR="002C1A24">
        <w:rPr>
          <w:rFonts w:asciiTheme="minorHAnsi" w:hAnsiTheme="minorHAnsi" w:cstheme="minorHAnsi"/>
          <w:lang w:eastAsia="en-US"/>
        </w:rPr>
        <w:t xml:space="preserve"> of experiences that </w:t>
      </w:r>
      <w:r w:rsidR="00414684">
        <w:rPr>
          <w:rFonts w:asciiTheme="minorHAnsi" w:hAnsiTheme="minorHAnsi" w:cstheme="minorHAnsi"/>
          <w:lang w:eastAsia="en-US"/>
        </w:rPr>
        <w:t xml:space="preserve">should </w:t>
      </w:r>
      <w:r w:rsidR="002C1A24">
        <w:rPr>
          <w:rFonts w:asciiTheme="minorHAnsi" w:hAnsiTheme="minorHAnsi" w:cstheme="minorHAnsi"/>
          <w:lang w:eastAsia="en-US"/>
        </w:rPr>
        <w:t xml:space="preserve">yield </w:t>
      </w:r>
      <w:r w:rsidR="00414684">
        <w:rPr>
          <w:rFonts w:asciiTheme="minorHAnsi" w:hAnsiTheme="minorHAnsi" w:cstheme="minorHAnsi"/>
          <w:lang w:eastAsia="en-US"/>
        </w:rPr>
        <w:t xml:space="preserve">meaningful </w:t>
      </w:r>
      <w:r w:rsidR="00597B09">
        <w:rPr>
          <w:rFonts w:asciiTheme="minorHAnsi" w:hAnsiTheme="minorHAnsi" w:cstheme="minorHAnsi"/>
          <w:lang w:eastAsia="en-US"/>
        </w:rPr>
        <w:t xml:space="preserve">and applicable </w:t>
      </w:r>
      <w:r w:rsidR="002C1A24">
        <w:rPr>
          <w:rFonts w:asciiTheme="minorHAnsi" w:hAnsiTheme="minorHAnsi" w:cstheme="minorHAnsi"/>
          <w:lang w:eastAsia="en-US"/>
        </w:rPr>
        <w:t>insight</w:t>
      </w:r>
      <w:r w:rsidR="00414684">
        <w:rPr>
          <w:rFonts w:asciiTheme="minorHAnsi" w:hAnsiTheme="minorHAnsi" w:cstheme="minorHAnsi"/>
          <w:lang w:eastAsia="en-US"/>
        </w:rPr>
        <w:t>s</w:t>
      </w:r>
      <w:r w:rsidR="002C1A24">
        <w:rPr>
          <w:rFonts w:asciiTheme="minorHAnsi" w:hAnsiTheme="minorHAnsi" w:cstheme="minorHAnsi"/>
          <w:lang w:eastAsia="en-US"/>
        </w:rPr>
        <w:t xml:space="preserve"> into the changes that are occurring within urban retailing systems</w:t>
      </w:r>
      <w:r w:rsidR="00597B09">
        <w:rPr>
          <w:rFonts w:asciiTheme="minorHAnsi" w:hAnsiTheme="minorHAnsi" w:cstheme="minorHAnsi"/>
          <w:lang w:eastAsia="en-US"/>
        </w:rPr>
        <w:t xml:space="preserve"> in the UK</w:t>
      </w:r>
      <w:r w:rsidR="002C1A24">
        <w:rPr>
          <w:rFonts w:asciiTheme="minorHAnsi" w:hAnsiTheme="minorHAnsi" w:cstheme="minorHAnsi"/>
          <w:lang w:eastAsia="en-US"/>
        </w:rPr>
        <w:t>.</w:t>
      </w:r>
    </w:p>
    <w:p w14:paraId="05E6352E" w14:textId="52787BCC" w:rsidR="00520A5D" w:rsidRDefault="00520A5D" w:rsidP="00C22CED">
      <w:pPr>
        <w:rPr>
          <w:lang w:eastAsia="en-US"/>
        </w:rPr>
      </w:pPr>
    </w:p>
    <w:p w14:paraId="733218D9" w14:textId="77777777" w:rsidR="00C22CED" w:rsidRPr="00474093" w:rsidRDefault="00C22CED" w:rsidP="00C22CED">
      <w:pPr>
        <w:rPr>
          <w:lang w:eastAsia="en-US"/>
        </w:rPr>
      </w:pPr>
    </w:p>
    <w:p w14:paraId="395F75C2" w14:textId="4C58B7D9" w:rsidR="00EB54E5" w:rsidRPr="00F345D5" w:rsidRDefault="001F096A" w:rsidP="00EB54E5">
      <w:pPr>
        <w:pStyle w:val="Heading2"/>
        <w:rPr>
          <w:rFonts w:asciiTheme="minorHAnsi" w:hAnsiTheme="minorHAnsi" w:cstheme="minorHAnsi"/>
          <w:b/>
          <w:bCs/>
        </w:rPr>
      </w:pPr>
      <w:r>
        <w:rPr>
          <w:rFonts w:asciiTheme="minorHAnsi" w:hAnsiTheme="minorHAnsi" w:cstheme="minorHAnsi"/>
          <w:b/>
          <w:bCs/>
        </w:rPr>
        <w:t>Defining</w:t>
      </w:r>
      <w:r w:rsidR="00EB54E5" w:rsidRPr="00F345D5">
        <w:rPr>
          <w:rFonts w:asciiTheme="minorHAnsi" w:hAnsiTheme="minorHAnsi" w:cstheme="minorHAnsi"/>
          <w:b/>
          <w:bCs/>
        </w:rPr>
        <w:t xml:space="preserve"> the </w:t>
      </w:r>
      <w:r w:rsidR="008B0101">
        <w:rPr>
          <w:rFonts w:asciiTheme="minorHAnsi" w:hAnsiTheme="minorHAnsi" w:cstheme="minorHAnsi"/>
          <w:b/>
          <w:bCs/>
        </w:rPr>
        <w:t>r</w:t>
      </w:r>
      <w:r w:rsidR="00EB54E5" w:rsidRPr="00F345D5">
        <w:rPr>
          <w:rFonts w:asciiTheme="minorHAnsi" w:hAnsiTheme="minorHAnsi" w:cstheme="minorHAnsi"/>
          <w:b/>
          <w:bCs/>
        </w:rPr>
        <w:t xml:space="preserve">etail </w:t>
      </w:r>
      <w:r w:rsidR="008B0101">
        <w:rPr>
          <w:rFonts w:asciiTheme="minorHAnsi" w:hAnsiTheme="minorHAnsi" w:cstheme="minorHAnsi"/>
          <w:b/>
          <w:bCs/>
        </w:rPr>
        <w:t>s</w:t>
      </w:r>
      <w:r w:rsidR="00EB54E5" w:rsidRPr="00F345D5">
        <w:rPr>
          <w:rFonts w:asciiTheme="minorHAnsi" w:hAnsiTheme="minorHAnsi" w:cstheme="minorHAnsi"/>
          <w:b/>
          <w:bCs/>
        </w:rPr>
        <w:t xml:space="preserve">tudy </w:t>
      </w:r>
      <w:r w:rsidR="008B0101">
        <w:rPr>
          <w:rFonts w:asciiTheme="minorHAnsi" w:hAnsiTheme="minorHAnsi" w:cstheme="minorHAnsi"/>
          <w:b/>
          <w:bCs/>
        </w:rPr>
        <w:t>a</w:t>
      </w:r>
      <w:r w:rsidR="00EB54E5" w:rsidRPr="00F345D5">
        <w:rPr>
          <w:rFonts w:asciiTheme="minorHAnsi" w:hAnsiTheme="minorHAnsi" w:cstheme="minorHAnsi"/>
          <w:b/>
          <w:bCs/>
        </w:rPr>
        <w:t xml:space="preserve">rea with </w:t>
      </w:r>
      <w:r w:rsidR="008B0101">
        <w:rPr>
          <w:rFonts w:asciiTheme="minorHAnsi" w:hAnsiTheme="minorHAnsi" w:cstheme="minorHAnsi"/>
          <w:b/>
          <w:bCs/>
        </w:rPr>
        <w:t>c</w:t>
      </w:r>
      <w:r w:rsidR="00EB54E5" w:rsidRPr="00F345D5">
        <w:rPr>
          <w:rFonts w:asciiTheme="minorHAnsi" w:hAnsiTheme="minorHAnsi" w:cstheme="minorHAnsi"/>
          <w:b/>
          <w:bCs/>
        </w:rPr>
        <w:t xml:space="preserve">ase </w:t>
      </w:r>
      <w:r w:rsidR="008B0101">
        <w:rPr>
          <w:rFonts w:asciiTheme="minorHAnsi" w:hAnsiTheme="minorHAnsi" w:cstheme="minorHAnsi"/>
          <w:b/>
          <w:bCs/>
        </w:rPr>
        <w:t>s</w:t>
      </w:r>
      <w:r w:rsidR="00EB54E5" w:rsidRPr="00F345D5">
        <w:rPr>
          <w:rFonts w:asciiTheme="minorHAnsi" w:hAnsiTheme="minorHAnsi" w:cstheme="minorHAnsi"/>
          <w:b/>
          <w:bCs/>
        </w:rPr>
        <w:t xml:space="preserve">tudy </w:t>
      </w:r>
      <w:r w:rsidR="008B0101">
        <w:rPr>
          <w:rFonts w:asciiTheme="minorHAnsi" w:hAnsiTheme="minorHAnsi" w:cstheme="minorHAnsi"/>
          <w:b/>
          <w:bCs/>
        </w:rPr>
        <w:t>c</w:t>
      </w:r>
      <w:r w:rsidR="00EB54E5" w:rsidRPr="00F345D5">
        <w:rPr>
          <w:rFonts w:asciiTheme="minorHAnsi" w:hAnsiTheme="minorHAnsi" w:cstheme="minorHAnsi"/>
          <w:b/>
          <w:bCs/>
        </w:rPr>
        <w:t>itie</w:t>
      </w:r>
      <w:r w:rsidR="002C4DD7" w:rsidRPr="00F345D5">
        <w:rPr>
          <w:rFonts w:asciiTheme="minorHAnsi" w:hAnsiTheme="minorHAnsi" w:cstheme="minorHAnsi"/>
          <w:b/>
          <w:bCs/>
        </w:rPr>
        <w:t>s</w:t>
      </w:r>
    </w:p>
    <w:p w14:paraId="17CEBEBF" w14:textId="77777777" w:rsidR="00474093" w:rsidRPr="00474093" w:rsidRDefault="00474093" w:rsidP="00474093">
      <w:pPr>
        <w:rPr>
          <w:lang w:eastAsia="en-US"/>
        </w:rPr>
      </w:pPr>
    </w:p>
    <w:p w14:paraId="1E3570C4" w14:textId="0291E284" w:rsidR="00EB54E5" w:rsidRDefault="00EB54E5" w:rsidP="00EB54E5">
      <w:pPr>
        <w:spacing w:line="360" w:lineRule="auto"/>
        <w:jc w:val="both"/>
        <w:rPr>
          <w:rFonts w:asciiTheme="minorHAnsi" w:hAnsiTheme="minorHAnsi" w:cstheme="minorHAnsi"/>
          <w:bCs/>
        </w:rPr>
      </w:pPr>
      <w:r>
        <w:rPr>
          <w:rFonts w:asciiTheme="minorHAnsi" w:hAnsiTheme="minorHAnsi" w:cstheme="minorHAnsi"/>
          <w:bCs/>
        </w:rPr>
        <w:t>The focus of this study is the core retailing location within the</w:t>
      </w:r>
      <w:r w:rsidR="002C4DD7">
        <w:rPr>
          <w:rFonts w:asciiTheme="minorHAnsi" w:hAnsiTheme="minorHAnsi" w:cstheme="minorHAnsi"/>
          <w:bCs/>
        </w:rPr>
        <w:t xml:space="preserve"> five case study </w:t>
      </w:r>
      <w:r>
        <w:rPr>
          <w:rFonts w:asciiTheme="minorHAnsi" w:hAnsiTheme="minorHAnsi" w:cstheme="minorHAnsi"/>
          <w:bCs/>
        </w:rPr>
        <w:t>cit</w:t>
      </w:r>
      <w:r w:rsidR="00047D2B">
        <w:rPr>
          <w:rFonts w:asciiTheme="minorHAnsi" w:hAnsiTheme="minorHAnsi" w:cstheme="minorHAnsi"/>
          <w:bCs/>
        </w:rPr>
        <w:t>ies</w:t>
      </w:r>
      <w:r w:rsidR="001F096A">
        <w:rPr>
          <w:rFonts w:asciiTheme="minorHAnsi" w:hAnsiTheme="minorHAnsi" w:cstheme="minorHAnsi"/>
          <w:bCs/>
        </w:rPr>
        <w:t xml:space="preserve"> so an appropriate definition of retailing centres is required</w:t>
      </w:r>
      <w:r>
        <w:rPr>
          <w:rFonts w:asciiTheme="minorHAnsi" w:hAnsiTheme="minorHAnsi" w:cstheme="minorHAnsi"/>
          <w:bCs/>
        </w:rPr>
        <w:t>.</w:t>
      </w:r>
      <w:r w:rsidR="00572DB8">
        <w:rPr>
          <w:rFonts w:asciiTheme="minorHAnsi" w:hAnsiTheme="minorHAnsi" w:cstheme="minorHAnsi"/>
          <w:bCs/>
        </w:rPr>
        <w:t xml:space="preserve"> </w:t>
      </w:r>
      <w:r w:rsidRPr="00287E10">
        <w:rPr>
          <w:rFonts w:asciiTheme="minorHAnsi" w:hAnsiTheme="minorHAnsi" w:cstheme="minorHAnsi"/>
          <w:bCs/>
        </w:rPr>
        <w:t xml:space="preserve">Numerous systems exist to </w:t>
      </w:r>
      <w:r w:rsidR="001F096A">
        <w:rPr>
          <w:rFonts w:asciiTheme="minorHAnsi" w:hAnsiTheme="minorHAnsi" w:cstheme="minorHAnsi"/>
          <w:bCs/>
        </w:rPr>
        <w:t xml:space="preserve">define and </w:t>
      </w:r>
      <w:r w:rsidRPr="00287E10">
        <w:rPr>
          <w:rFonts w:asciiTheme="minorHAnsi" w:hAnsiTheme="minorHAnsi" w:cstheme="minorHAnsi"/>
          <w:bCs/>
        </w:rPr>
        <w:t>classify retail locations in the literature.</w:t>
      </w:r>
      <w:r w:rsidR="00572DB8">
        <w:rPr>
          <w:rFonts w:asciiTheme="minorHAnsi" w:hAnsiTheme="minorHAnsi" w:cstheme="minorHAnsi"/>
          <w:bCs/>
        </w:rPr>
        <w:t xml:space="preserve"> </w:t>
      </w:r>
      <w:r w:rsidRPr="00287E10">
        <w:rPr>
          <w:rFonts w:asciiTheme="minorHAnsi" w:hAnsiTheme="minorHAnsi" w:cstheme="minorHAnsi"/>
          <w:bCs/>
        </w:rPr>
        <w:t>Until recently these approaches relied on definitions linked to shopping behaviour and the notion that shoppers would shop a</w:t>
      </w:r>
      <w:r>
        <w:rPr>
          <w:rFonts w:asciiTheme="minorHAnsi" w:hAnsiTheme="minorHAnsi" w:cstheme="minorHAnsi"/>
          <w:bCs/>
        </w:rPr>
        <w:t>t</w:t>
      </w:r>
      <w:r w:rsidRPr="00287E10">
        <w:rPr>
          <w:rFonts w:asciiTheme="minorHAnsi" w:hAnsiTheme="minorHAnsi" w:cstheme="minorHAnsi"/>
          <w:bCs/>
        </w:rPr>
        <w:t xml:space="preserve"> the nearest or most convenient location.</w:t>
      </w:r>
      <w:r w:rsidR="00572DB8">
        <w:rPr>
          <w:rFonts w:asciiTheme="minorHAnsi" w:hAnsiTheme="minorHAnsi" w:cstheme="minorHAnsi"/>
          <w:bCs/>
        </w:rPr>
        <w:t xml:space="preserve"> </w:t>
      </w:r>
      <w:r w:rsidRPr="00287E10">
        <w:rPr>
          <w:rFonts w:asciiTheme="minorHAnsi" w:hAnsiTheme="minorHAnsi" w:cstheme="minorHAnsi"/>
          <w:bCs/>
        </w:rPr>
        <w:t xml:space="preserve">The simplest of such classification </w:t>
      </w:r>
      <w:r w:rsidR="001F096A">
        <w:rPr>
          <w:rFonts w:asciiTheme="minorHAnsi" w:hAnsiTheme="minorHAnsi" w:cstheme="minorHAnsi"/>
          <w:bCs/>
        </w:rPr>
        <w:t>i</w:t>
      </w:r>
      <w:r w:rsidRPr="00287E10">
        <w:rPr>
          <w:rFonts w:asciiTheme="minorHAnsi" w:hAnsiTheme="minorHAnsi" w:cstheme="minorHAnsi"/>
          <w:bCs/>
        </w:rPr>
        <w:t>s the differentiation between convenience and comparison shopping</w:t>
      </w:r>
      <w:r w:rsidR="00A31097">
        <w:rPr>
          <w:rFonts w:asciiTheme="minorHAnsi" w:hAnsiTheme="minorHAnsi" w:cstheme="minorHAnsi"/>
          <w:bCs/>
        </w:rPr>
        <w:t>, however</w:t>
      </w:r>
      <w:r w:rsidRPr="00287E10">
        <w:rPr>
          <w:rFonts w:asciiTheme="minorHAnsi" w:hAnsiTheme="minorHAnsi" w:cstheme="minorHAnsi"/>
          <w:bCs/>
        </w:rPr>
        <w:t xml:space="preserve"> Guy (1998) argues that this distinction is less relative in today’s retailing market as variety/mixed stores and leisure shopping have blurred the </w:t>
      </w:r>
      <w:r w:rsidR="001F096A">
        <w:rPr>
          <w:rFonts w:asciiTheme="minorHAnsi" w:hAnsiTheme="minorHAnsi" w:cstheme="minorHAnsi"/>
          <w:bCs/>
        </w:rPr>
        <w:t>line</w:t>
      </w:r>
      <w:r w:rsidR="00230A11">
        <w:rPr>
          <w:rFonts w:asciiTheme="minorHAnsi" w:hAnsiTheme="minorHAnsi" w:cstheme="minorHAnsi"/>
          <w:bCs/>
        </w:rPr>
        <w:t>s</w:t>
      </w:r>
      <w:r w:rsidR="001F096A">
        <w:rPr>
          <w:rFonts w:asciiTheme="minorHAnsi" w:hAnsiTheme="minorHAnsi" w:cstheme="minorHAnsi"/>
          <w:bCs/>
        </w:rPr>
        <w:t xml:space="preserve"> of demarcation</w:t>
      </w:r>
      <w:r w:rsidRPr="00287E10">
        <w:rPr>
          <w:rFonts w:asciiTheme="minorHAnsi" w:hAnsiTheme="minorHAnsi" w:cstheme="minorHAnsi"/>
          <w:bCs/>
        </w:rPr>
        <w:t>.</w:t>
      </w:r>
    </w:p>
    <w:p w14:paraId="0333C827" w14:textId="77777777" w:rsidR="00EB54E5" w:rsidRPr="00287E10" w:rsidRDefault="00EB54E5" w:rsidP="00EB54E5">
      <w:pPr>
        <w:spacing w:line="360" w:lineRule="auto"/>
        <w:jc w:val="both"/>
        <w:rPr>
          <w:rFonts w:asciiTheme="minorHAnsi" w:hAnsiTheme="minorHAnsi" w:cstheme="minorHAnsi"/>
          <w:bCs/>
        </w:rPr>
      </w:pPr>
    </w:p>
    <w:p w14:paraId="74923570" w14:textId="31AB9DE6" w:rsidR="00EB54E5" w:rsidRDefault="00EB54E5" w:rsidP="00EB54E5">
      <w:pPr>
        <w:pStyle w:val="NormalWeb"/>
        <w:spacing w:before="0" w:beforeAutospacing="0" w:line="360" w:lineRule="auto"/>
        <w:jc w:val="both"/>
        <w:rPr>
          <w:rFonts w:asciiTheme="minorHAnsi" w:hAnsiTheme="minorHAnsi" w:cstheme="minorHAnsi"/>
          <w:bCs/>
        </w:rPr>
      </w:pPr>
      <w:r w:rsidRPr="00410B19">
        <w:rPr>
          <w:rFonts w:asciiTheme="minorHAnsi" w:hAnsiTheme="minorHAnsi" w:cstheme="minorHAnsi"/>
          <w:bCs/>
        </w:rPr>
        <w:t>Guy (1998) defines a retailing area as an unplanned cluster of shops that tend to develop and grow through the gradual conversion of buildings and land from other land uses.</w:t>
      </w:r>
      <w:r w:rsidR="00572DB8">
        <w:rPr>
          <w:rFonts w:asciiTheme="minorHAnsi" w:hAnsiTheme="minorHAnsi" w:cstheme="minorHAnsi"/>
          <w:bCs/>
        </w:rPr>
        <w:t xml:space="preserve"> </w:t>
      </w:r>
      <w:r w:rsidRPr="00410B19">
        <w:rPr>
          <w:rFonts w:asciiTheme="minorHAnsi" w:hAnsiTheme="minorHAnsi" w:cstheme="minorHAnsi"/>
          <w:bCs/>
        </w:rPr>
        <w:t>The areas tend to consist of many separate buildings that are owned by a number of property owners.</w:t>
      </w:r>
      <w:r w:rsidR="00572DB8">
        <w:rPr>
          <w:rFonts w:asciiTheme="minorHAnsi" w:hAnsiTheme="minorHAnsi" w:cstheme="minorHAnsi"/>
          <w:bCs/>
        </w:rPr>
        <w:t xml:space="preserve"> </w:t>
      </w:r>
      <w:r w:rsidRPr="00410B19">
        <w:rPr>
          <w:rFonts w:asciiTheme="minorHAnsi" w:hAnsiTheme="minorHAnsi" w:cstheme="minorHAnsi"/>
          <w:bCs/>
        </w:rPr>
        <w:t>These unplanned retail outlets are typical of the traditional “High Street” in our cities, towns and suburb</w:t>
      </w:r>
      <w:r w:rsidR="00047D2B">
        <w:rPr>
          <w:rFonts w:asciiTheme="minorHAnsi" w:hAnsiTheme="minorHAnsi" w:cstheme="minorHAnsi"/>
          <w:bCs/>
        </w:rPr>
        <w:t>s</w:t>
      </w:r>
      <w:r w:rsidRPr="00410B19">
        <w:rPr>
          <w:rFonts w:asciiTheme="minorHAnsi" w:hAnsiTheme="minorHAnsi" w:cstheme="minorHAnsi"/>
          <w:bCs/>
        </w:rPr>
        <w:t xml:space="preserve"> where property ownership maybe fragmented and the physical appearance of units is typically not uniform or standardised. These linear shopping ribbons differ from a shopping centre/mall which is a planned group of retail outlets, usually in a single purpose-built or converted building, and identifiable physical appearance (Brown, 1991).</w:t>
      </w:r>
      <w:r w:rsidR="00572DB8">
        <w:rPr>
          <w:rFonts w:asciiTheme="minorHAnsi" w:hAnsiTheme="minorHAnsi" w:cstheme="minorHAnsi"/>
          <w:bCs/>
        </w:rPr>
        <w:t xml:space="preserve"> </w:t>
      </w:r>
      <w:r w:rsidR="000D4603">
        <w:rPr>
          <w:rFonts w:asciiTheme="minorHAnsi" w:hAnsiTheme="minorHAnsi" w:cstheme="minorHAnsi"/>
          <w:bCs/>
        </w:rPr>
        <w:t xml:space="preserve">More recently, Ordnance Survey </w:t>
      </w:r>
      <w:r w:rsidR="0054056F">
        <w:rPr>
          <w:rFonts w:asciiTheme="minorHAnsi" w:hAnsiTheme="minorHAnsi" w:cstheme="minorHAnsi"/>
          <w:bCs/>
        </w:rPr>
        <w:t xml:space="preserve">took a similar approach to Brown, </w:t>
      </w:r>
      <w:r w:rsidR="000D4603">
        <w:rPr>
          <w:rFonts w:asciiTheme="minorHAnsi" w:hAnsiTheme="minorHAnsi" w:cstheme="minorHAnsi"/>
          <w:bCs/>
        </w:rPr>
        <w:t>defin</w:t>
      </w:r>
      <w:r w:rsidR="0054056F">
        <w:rPr>
          <w:rFonts w:asciiTheme="minorHAnsi" w:hAnsiTheme="minorHAnsi" w:cstheme="minorHAnsi"/>
          <w:bCs/>
        </w:rPr>
        <w:t>ing</w:t>
      </w:r>
      <w:r w:rsidR="000D4603">
        <w:rPr>
          <w:rFonts w:asciiTheme="minorHAnsi" w:hAnsiTheme="minorHAnsi" w:cstheme="minorHAnsi"/>
          <w:bCs/>
        </w:rPr>
        <w:t xml:space="preserve"> a High Street to be </w:t>
      </w:r>
      <w:r w:rsidR="000D4603" w:rsidRPr="000D4603">
        <w:rPr>
          <w:rFonts w:asciiTheme="minorHAnsi" w:hAnsiTheme="minorHAnsi" w:cstheme="minorHAnsi"/>
          <w:bCs/>
        </w:rPr>
        <w:t xml:space="preserve">any cluster of 15 </w:t>
      </w:r>
      <w:r w:rsidR="0054056F">
        <w:rPr>
          <w:rFonts w:asciiTheme="minorHAnsi" w:hAnsiTheme="minorHAnsi" w:cstheme="minorHAnsi"/>
          <w:bCs/>
        </w:rPr>
        <w:t xml:space="preserve">or more </w:t>
      </w:r>
      <w:r w:rsidR="000D4603" w:rsidRPr="000D4603">
        <w:rPr>
          <w:rFonts w:asciiTheme="minorHAnsi" w:hAnsiTheme="minorHAnsi" w:cstheme="minorHAnsi"/>
          <w:bCs/>
        </w:rPr>
        <w:t>buildings</w:t>
      </w:r>
      <w:r w:rsidR="000D4603">
        <w:rPr>
          <w:rFonts w:asciiTheme="minorHAnsi" w:hAnsiTheme="minorHAnsi" w:cstheme="minorHAnsi"/>
          <w:bCs/>
        </w:rPr>
        <w:t>, less than 150 metres apart,</w:t>
      </w:r>
      <w:r w:rsidR="000D4603" w:rsidRPr="000D4603">
        <w:rPr>
          <w:rFonts w:asciiTheme="minorHAnsi" w:hAnsiTheme="minorHAnsi" w:cstheme="minorHAnsi"/>
          <w:bCs/>
        </w:rPr>
        <w:t xml:space="preserve"> containing retail</w:t>
      </w:r>
      <w:r w:rsidR="000D4603">
        <w:rPr>
          <w:rFonts w:asciiTheme="minorHAnsi" w:hAnsiTheme="minorHAnsi" w:cstheme="minorHAnsi"/>
          <w:bCs/>
        </w:rPr>
        <w:t xml:space="preserve"> or food </w:t>
      </w:r>
      <w:r w:rsidR="00BC4A78">
        <w:rPr>
          <w:rFonts w:asciiTheme="minorHAnsi" w:hAnsiTheme="minorHAnsi" w:cstheme="minorHAnsi"/>
          <w:bCs/>
        </w:rPr>
        <w:t>and</w:t>
      </w:r>
      <w:r w:rsidR="000D4603">
        <w:rPr>
          <w:rFonts w:asciiTheme="minorHAnsi" w:hAnsiTheme="minorHAnsi" w:cstheme="minorHAnsi"/>
          <w:bCs/>
        </w:rPr>
        <w:t xml:space="preserve"> drink units </w:t>
      </w:r>
      <w:r w:rsidR="000D4603" w:rsidRPr="000D4603">
        <w:rPr>
          <w:rFonts w:asciiTheme="minorHAnsi" w:hAnsiTheme="minorHAnsi" w:cstheme="minorHAnsi"/>
          <w:bCs/>
        </w:rPr>
        <w:t>along a single road</w:t>
      </w:r>
      <w:r w:rsidR="0054056F">
        <w:rPr>
          <w:rFonts w:asciiTheme="minorHAnsi" w:hAnsiTheme="minorHAnsi" w:cstheme="minorHAnsi"/>
          <w:bCs/>
        </w:rPr>
        <w:t xml:space="preserve"> (Ordnance Survey, 2019)</w:t>
      </w:r>
      <w:r w:rsidR="000D4603">
        <w:rPr>
          <w:rFonts w:asciiTheme="minorHAnsi" w:hAnsiTheme="minorHAnsi" w:cstheme="minorHAnsi"/>
          <w:bCs/>
        </w:rPr>
        <w:t>.</w:t>
      </w:r>
    </w:p>
    <w:p w14:paraId="28190F83" w14:textId="16B89CA3" w:rsidR="00EB54E5" w:rsidRPr="007B011A" w:rsidRDefault="000D4603" w:rsidP="000D4603">
      <w:pPr>
        <w:pStyle w:val="NormalWeb"/>
        <w:spacing w:before="0" w:beforeAutospacing="0" w:line="360" w:lineRule="auto"/>
        <w:jc w:val="both"/>
        <w:rPr>
          <w:rFonts w:asciiTheme="minorHAnsi" w:hAnsiTheme="minorHAnsi" w:cstheme="minorHAnsi"/>
          <w:bCs/>
          <w:color w:val="211E1E"/>
        </w:rPr>
      </w:pPr>
      <w:r w:rsidRPr="007B011A">
        <w:rPr>
          <w:rFonts w:asciiTheme="minorHAnsi" w:hAnsiTheme="minorHAnsi" w:cstheme="minorHAnsi"/>
          <w:bCs/>
        </w:rPr>
        <w:lastRenderedPageBreak/>
        <w:t xml:space="preserve">This study aims to look beyond single streets but at how streets and buildings within </w:t>
      </w:r>
      <w:r w:rsidR="001F096A" w:rsidRPr="007B011A">
        <w:rPr>
          <w:rFonts w:asciiTheme="minorHAnsi" w:hAnsiTheme="minorHAnsi" w:cstheme="minorHAnsi"/>
          <w:bCs/>
        </w:rPr>
        <w:t>the core</w:t>
      </w:r>
      <w:r w:rsidRPr="007B011A">
        <w:rPr>
          <w:rFonts w:asciiTheme="minorHAnsi" w:hAnsiTheme="minorHAnsi" w:cstheme="minorHAnsi"/>
          <w:bCs/>
        </w:rPr>
        <w:t xml:space="preserve"> retailing area change.</w:t>
      </w:r>
      <w:r w:rsidR="00572DB8" w:rsidRPr="007B011A">
        <w:rPr>
          <w:rFonts w:asciiTheme="minorHAnsi" w:hAnsiTheme="minorHAnsi" w:cstheme="minorHAnsi"/>
          <w:bCs/>
        </w:rPr>
        <w:t xml:space="preserve"> </w:t>
      </w:r>
      <w:r w:rsidR="00EB54E5" w:rsidRPr="007B011A">
        <w:rPr>
          <w:rFonts w:asciiTheme="minorHAnsi" w:hAnsiTheme="minorHAnsi" w:cstheme="minorHAnsi"/>
          <w:bCs/>
        </w:rPr>
        <w:t>A primary shopping area (PSA) in England is defined in the National Planning Policy Framework (Ministry of Housing, Communities and Local Government, 2019) as</w:t>
      </w:r>
      <w:r w:rsidR="001F096A" w:rsidRPr="007B011A">
        <w:rPr>
          <w:rFonts w:asciiTheme="minorHAnsi" w:hAnsiTheme="minorHAnsi" w:cstheme="minorHAnsi"/>
          <w:bCs/>
        </w:rPr>
        <w:t xml:space="preserve"> the</w:t>
      </w:r>
      <w:r w:rsidR="00EB54E5" w:rsidRPr="007B011A">
        <w:rPr>
          <w:rFonts w:asciiTheme="minorHAnsi" w:hAnsiTheme="minorHAnsi" w:cstheme="minorHAnsi"/>
          <w:bCs/>
        </w:rPr>
        <w:t xml:space="preserve"> 'defined area where retail development is concentrated' </w:t>
      </w:r>
      <w:r w:rsidR="00131B84" w:rsidRPr="007B011A">
        <w:rPr>
          <w:rFonts w:asciiTheme="minorHAnsi" w:hAnsiTheme="minorHAnsi" w:cstheme="minorHAnsi"/>
          <w:bCs/>
        </w:rPr>
        <w:t>although some planning authorities, refer to the city centre PSA as main retail area. I</w:t>
      </w:r>
      <w:r w:rsidR="00EB54E5" w:rsidRPr="007B011A">
        <w:rPr>
          <w:rFonts w:asciiTheme="minorHAnsi" w:hAnsiTheme="minorHAnsi" w:cstheme="minorHAnsi"/>
          <w:bCs/>
        </w:rPr>
        <w:t xml:space="preserve">n Scotland the retail core in a city or town centre is referred to as the </w:t>
      </w:r>
      <w:r w:rsidR="00754F07" w:rsidRPr="007B011A">
        <w:rPr>
          <w:rFonts w:asciiTheme="minorHAnsi" w:hAnsiTheme="minorHAnsi" w:cstheme="minorHAnsi"/>
          <w:bCs/>
          <w:color w:val="211E1E"/>
        </w:rPr>
        <w:t>p</w:t>
      </w:r>
      <w:r w:rsidR="00EB54E5" w:rsidRPr="007B011A">
        <w:rPr>
          <w:rFonts w:asciiTheme="minorHAnsi" w:hAnsiTheme="minorHAnsi" w:cstheme="minorHAnsi"/>
          <w:bCs/>
          <w:color w:val="211E1E"/>
        </w:rPr>
        <w:t xml:space="preserve">rincipal </w:t>
      </w:r>
      <w:r w:rsidR="00754F07" w:rsidRPr="007B011A">
        <w:rPr>
          <w:rFonts w:asciiTheme="minorHAnsi" w:hAnsiTheme="minorHAnsi" w:cstheme="minorHAnsi"/>
          <w:bCs/>
          <w:color w:val="211E1E"/>
        </w:rPr>
        <w:t>r</w:t>
      </w:r>
      <w:r w:rsidR="00EB54E5" w:rsidRPr="007B011A">
        <w:rPr>
          <w:rFonts w:asciiTheme="minorHAnsi" w:hAnsiTheme="minorHAnsi" w:cstheme="minorHAnsi"/>
          <w:bCs/>
          <w:color w:val="211E1E"/>
        </w:rPr>
        <w:t xml:space="preserve">etail </w:t>
      </w:r>
      <w:r w:rsidR="00754F07" w:rsidRPr="007B011A">
        <w:rPr>
          <w:rFonts w:asciiTheme="minorHAnsi" w:hAnsiTheme="minorHAnsi" w:cstheme="minorHAnsi"/>
          <w:bCs/>
          <w:color w:val="211E1E"/>
        </w:rPr>
        <w:t>a</w:t>
      </w:r>
      <w:r w:rsidR="00EB54E5" w:rsidRPr="007B011A">
        <w:rPr>
          <w:rFonts w:asciiTheme="minorHAnsi" w:hAnsiTheme="minorHAnsi" w:cstheme="minorHAnsi"/>
          <w:bCs/>
          <w:color w:val="211E1E"/>
        </w:rPr>
        <w:t xml:space="preserve">rea (PRA) and is identified </w:t>
      </w:r>
      <w:r w:rsidR="002C4DD7" w:rsidRPr="007B011A">
        <w:rPr>
          <w:rFonts w:asciiTheme="minorHAnsi" w:hAnsiTheme="minorHAnsi" w:cstheme="minorHAnsi"/>
          <w:bCs/>
          <w:color w:val="211E1E"/>
        </w:rPr>
        <w:t xml:space="preserve">by the controlling Local Authority </w:t>
      </w:r>
      <w:r w:rsidR="00EB54E5" w:rsidRPr="007B011A">
        <w:rPr>
          <w:rFonts w:asciiTheme="minorHAnsi" w:hAnsiTheme="minorHAnsi" w:cstheme="minorHAnsi"/>
          <w:bCs/>
          <w:color w:val="211E1E"/>
        </w:rPr>
        <w:t xml:space="preserve">as the preferred location </w:t>
      </w:r>
      <w:r w:rsidR="002C4DD7" w:rsidRPr="007B011A">
        <w:rPr>
          <w:rFonts w:asciiTheme="minorHAnsi" w:hAnsiTheme="minorHAnsi" w:cstheme="minorHAnsi"/>
          <w:bCs/>
          <w:color w:val="211E1E"/>
        </w:rPr>
        <w:t xml:space="preserve">where </w:t>
      </w:r>
      <w:r w:rsidR="00EB54E5" w:rsidRPr="007B011A">
        <w:rPr>
          <w:rFonts w:asciiTheme="minorHAnsi" w:hAnsiTheme="minorHAnsi" w:cstheme="minorHAnsi"/>
          <w:bCs/>
          <w:color w:val="211E1E"/>
        </w:rPr>
        <w:t>retail development is encouraged</w:t>
      </w:r>
      <w:r w:rsidR="002C4DD7" w:rsidRPr="007B011A">
        <w:rPr>
          <w:rFonts w:asciiTheme="minorHAnsi" w:hAnsiTheme="minorHAnsi" w:cstheme="minorHAnsi"/>
          <w:bCs/>
          <w:color w:val="211E1E"/>
        </w:rPr>
        <w:t xml:space="preserve"> (Scottish Government, 2014)</w:t>
      </w:r>
      <w:r w:rsidR="00AA5AC7" w:rsidRPr="007B011A">
        <w:rPr>
          <w:rFonts w:asciiTheme="minorHAnsi" w:hAnsiTheme="minorHAnsi" w:cstheme="minorHAnsi"/>
          <w:bCs/>
          <w:color w:val="211E1E"/>
        </w:rPr>
        <w:t xml:space="preserve">. </w:t>
      </w:r>
      <w:r w:rsidR="00EB54E5" w:rsidRPr="007B011A">
        <w:rPr>
          <w:rFonts w:asciiTheme="minorHAnsi" w:hAnsiTheme="minorHAnsi" w:cstheme="minorHAnsi"/>
          <w:bCs/>
          <w:color w:val="211E1E"/>
        </w:rPr>
        <w:t>The</w:t>
      </w:r>
      <w:r w:rsidR="001F096A" w:rsidRPr="007B011A">
        <w:rPr>
          <w:rFonts w:asciiTheme="minorHAnsi" w:hAnsiTheme="minorHAnsi" w:cstheme="minorHAnsi"/>
          <w:bCs/>
          <w:color w:val="211E1E"/>
        </w:rPr>
        <w:t>se</w:t>
      </w:r>
      <w:r w:rsidR="00AA5AC7" w:rsidRPr="007B011A">
        <w:rPr>
          <w:rFonts w:asciiTheme="minorHAnsi" w:hAnsiTheme="minorHAnsi" w:cstheme="minorHAnsi"/>
          <w:bCs/>
          <w:color w:val="211E1E"/>
        </w:rPr>
        <w:t xml:space="preserve"> policy-</w:t>
      </w:r>
      <w:r w:rsidR="00EB54E5" w:rsidRPr="007B011A">
        <w:rPr>
          <w:rFonts w:asciiTheme="minorHAnsi" w:hAnsiTheme="minorHAnsi" w:cstheme="minorHAnsi"/>
          <w:bCs/>
          <w:color w:val="211E1E"/>
        </w:rPr>
        <w:t>defined in-town shopping areas capture the traditional unplanned linear ribbons and adjacent shopping malls within the central retail and commercial districts within cities and towns.</w:t>
      </w:r>
    </w:p>
    <w:p w14:paraId="07FBFD48" w14:textId="002F17BA" w:rsidR="007B011A" w:rsidRPr="007B011A" w:rsidRDefault="00AA5AC7" w:rsidP="00EB54E5">
      <w:pPr>
        <w:pStyle w:val="NormalWeb"/>
        <w:shd w:val="clear" w:color="auto" w:fill="FFFFFF"/>
        <w:spacing w:line="360" w:lineRule="auto"/>
        <w:jc w:val="both"/>
        <w:rPr>
          <w:rFonts w:asciiTheme="minorHAnsi" w:hAnsiTheme="minorHAnsi" w:cstheme="minorHAnsi"/>
          <w:bCs/>
          <w:color w:val="211E1E"/>
        </w:rPr>
      </w:pPr>
      <w:r w:rsidRPr="007B011A">
        <w:rPr>
          <w:rFonts w:asciiTheme="minorHAnsi" w:hAnsiTheme="minorHAnsi" w:cstheme="minorHAnsi"/>
          <w:bCs/>
          <w:color w:val="211E1E"/>
        </w:rPr>
        <w:t xml:space="preserve">The PRAs and PSAs in the case study centres have </w:t>
      </w:r>
      <w:r w:rsidR="00EB54E5" w:rsidRPr="007B011A">
        <w:rPr>
          <w:rFonts w:asciiTheme="minorHAnsi" w:hAnsiTheme="minorHAnsi" w:cstheme="minorHAnsi"/>
          <w:bCs/>
          <w:color w:val="211E1E"/>
        </w:rPr>
        <w:t>change</w:t>
      </w:r>
      <w:r w:rsidR="00131B84" w:rsidRPr="007B011A">
        <w:rPr>
          <w:rFonts w:asciiTheme="minorHAnsi" w:hAnsiTheme="minorHAnsi" w:cstheme="minorHAnsi"/>
          <w:bCs/>
          <w:color w:val="211E1E"/>
        </w:rPr>
        <w:t>d</w:t>
      </w:r>
      <w:r w:rsidRPr="007B011A">
        <w:rPr>
          <w:rFonts w:asciiTheme="minorHAnsi" w:hAnsiTheme="minorHAnsi" w:cstheme="minorHAnsi"/>
          <w:bCs/>
          <w:color w:val="211E1E"/>
        </w:rPr>
        <w:t xml:space="preserve"> over time as the retail centre evolved</w:t>
      </w:r>
      <w:r w:rsidR="00EB54E5" w:rsidRPr="007B011A">
        <w:rPr>
          <w:rFonts w:asciiTheme="minorHAnsi" w:hAnsiTheme="minorHAnsi" w:cstheme="minorHAnsi"/>
          <w:bCs/>
          <w:color w:val="211E1E"/>
        </w:rPr>
        <w:t xml:space="preserve">. Figure </w:t>
      </w:r>
      <w:r w:rsidR="00F40858" w:rsidRPr="007B011A">
        <w:rPr>
          <w:rFonts w:asciiTheme="minorHAnsi" w:hAnsiTheme="minorHAnsi" w:cstheme="minorHAnsi"/>
          <w:bCs/>
          <w:color w:val="211E1E"/>
        </w:rPr>
        <w:t>8</w:t>
      </w:r>
      <w:r w:rsidR="00474093" w:rsidRPr="007B011A">
        <w:rPr>
          <w:rFonts w:asciiTheme="minorHAnsi" w:hAnsiTheme="minorHAnsi" w:cstheme="minorHAnsi"/>
          <w:bCs/>
          <w:color w:val="211E1E"/>
        </w:rPr>
        <w:t xml:space="preserve"> </w:t>
      </w:r>
      <w:r w:rsidR="00EB54E5" w:rsidRPr="007B011A">
        <w:rPr>
          <w:rFonts w:asciiTheme="minorHAnsi" w:hAnsiTheme="minorHAnsi" w:cstheme="minorHAnsi"/>
          <w:bCs/>
          <w:color w:val="211E1E"/>
        </w:rPr>
        <w:t>illustrate</w:t>
      </w:r>
      <w:r w:rsidRPr="007B011A">
        <w:rPr>
          <w:rFonts w:asciiTheme="minorHAnsi" w:hAnsiTheme="minorHAnsi" w:cstheme="minorHAnsi"/>
          <w:bCs/>
          <w:color w:val="211E1E"/>
        </w:rPr>
        <w:t>s</w:t>
      </w:r>
      <w:r w:rsidR="00EB54E5" w:rsidRPr="007B011A">
        <w:rPr>
          <w:rFonts w:asciiTheme="minorHAnsi" w:hAnsiTheme="minorHAnsi" w:cstheme="minorHAnsi"/>
          <w:bCs/>
          <w:color w:val="211E1E"/>
        </w:rPr>
        <w:t xml:space="preserve"> the changes </w:t>
      </w:r>
      <w:r w:rsidRPr="007B011A">
        <w:rPr>
          <w:rFonts w:asciiTheme="minorHAnsi" w:hAnsiTheme="minorHAnsi" w:cstheme="minorHAnsi"/>
          <w:bCs/>
          <w:color w:val="211E1E"/>
        </w:rPr>
        <w:t>to the boundaries of the city centre retail core, as set by local and development plans and strategic policy guidance, for each city</w:t>
      </w:r>
      <w:r w:rsidR="00EB54E5" w:rsidRPr="007B011A">
        <w:rPr>
          <w:rFonts w:asciiTheme="minorHAnsi" w:hAnsiTheme="minorHAnsi" w:cstheme="minorHAnsi"/>
          <w:bCs/>
          <w:color w:val="211E1E"/>
        </w:rPr>
        <w:t xml:space="preserve"> over the study period.</w:t>
      </w:r>
    </w:p>
    <w:p w14:paraId="7F6E3713" w14:textId="2235ABC2" w:rsidR="007B011A" w:rsidRDefault="007B011A" w:rsidP="00BC4A78">
      <w:pPr>
        <w:pStyle w:val="NormalWeb"/>
        <w:shd w:val="clear" w:color="auto" w:fill="FFFFFF"/>
        <w:spacing w:before="0" w:beforeAutospacing="0" w:after="0" w:afterAutospacing="0" w:line="360" w:lineRule="auto"/>
        <w:jc w:val="both"/>
        <w:rPr>
          <w:rFonts w:asciiTheme="minorHAnsi" w:hAnsiTheme="minorHAnsi" w:cstheme="minorHAnsi"/>
        </w:rPr>
      </w:pPr>
      <w:r w:rsidRPr="007B011A">
        <w:rPr>
          <w:rFonts w:asciiTheme="minorHAnsi" w:hAnsiTheme="minorHAnsi" w:cstheme="minorHAnsi"/>
        </w:rPr>
        <w:t>In some centres, such as Edinburgh and Glasgow, the designated core retail area has changed very little. In other centres, such as Liverpool, there has been considerable changes. Following consultation with the REPAIR Steering Group the decision was made to set the study retail area within each city for the study as the areas that corresponded to the maximum area of coverage when the PRAs and PSAs for different time periods were merged. It was also decided that the extension to Edinburgh’s PRA across North Bridge, which was present in the 2010 City Plan but removed in 2016, was disconnected to the main retail core and excluded from the study area, as was the London Road strategic area in Liverpool.</w:t>
      </w:r>
    </w:p>
    <w:p w14:paraId="000B01F4" w14:textId="4156A443" w:rsidR="00BC4A78" w:rsidRDefault="00BC4A78" w:rsidP="00BC4A78">
      <w:pPr>
        <w:pStyle w:val="NormalWeb"/>
        <w:shd w:val="clear" w:color="auto" w:fill="FFFFFF"/>
        <w:spacing w:before="0" w:beforeAutospacing="0" w:after="0" w:afterAutospacing="0" w:line="360" w:lineRule="auto"/>
        <w:jc w:val="both"/>
        <w:rPr>
          <w:rFonts w:asciiTheme="minorHAnsi" w:hAnsiTheme="minorHAnsi" w:cstheme="minorHAnsi"/>
        </w:rPr>
      </w:pPr>
    </w:p>
    <w:p w14:paraId="33E88824" w14:textId="521387CA" w:rsidR="00BC4A78" w:rsidRPr="00BC4A78" w:rsidRDefault="00BC4A78" w:rsidP="00BC4A78">
      <w:pPr>
        <w:pStyle w:val="NoSpacing"/>
        <w:spacing w:line="360" w:lineRule="auto"/>
        <w:jc w:val="both"/>
        <w:rPr>
          <w:sz w:val="24"/>
          <w:szCs w:val="24"/>
        </w:rPr>
      </w:pPr>
      <w:r w:rsidRPr="00AA5AC7">
        <w:rPr>
          <w:sz w:val="24"/>
          <w:szCs w:val="24"/>
        </w:rPr>
        <w:t>The</w:t>
      </w:r>
      <w:r>
        <w:rPr>
          <w:sz w:val="24"/>
          <w:szCs w:val="24"/>
        </w:rPr>
        <w:t xml:space="preserve"> agreed</w:t>
      </w:r>
      <w:r w:rsidRPr="00AA5AC7">
        <w:rPr>
          <w:sz w:val="24"/>
          <w:szCs w:val="24"/>
        </w:rPr>
        <w:t xml:space="preserve"> study </w:t>
      </w:r>
      <w:r>
        <w:rPr>
          <w:sz w:val="24"/>
          <w:szCs w:val="24"/>
        </w:rPr>
        <w:t xml:space="preserve">city centre </w:t>
      </w:r>
      <w:r w:rsidRPr="00AA5AC7">
        <w:rPr>
          <w:sz w:val="24"/>
          <w:szCs w:val="24"/>
        </w:rPr>
        <w:t>retail</w:t>
      </w:r>
      <w:r>
        <w:rPr>
          <w:sz w:val="24"/>
          <w:szCs w:val="24"/>
        </w:rPr>
        <w:t>ing</w:t>
      </w:r>
      <w:r w:rsidRPr="00AA5AC7">
        <w:rPr>
          <w:sz w:val="24"/>
          <w:szCs w:val="24"/>
        </w:rPr>
        <w:t xml:space="preserve"> areas</w:t>
      </w:r>
      <w:r>
        <w:rPr>
          <w:sz w:val="24"/>
          <w:szCs w:val="24"/>
        </w:rPr>
        <w:t xml:space="preserve">, highlighted in the above maps in pink shade, form the basis of </w:t>
      </w:r>
      <w:r w:rsidRPr="001D4DF5">
        <w:rPr>
          <w:sz w:val="24"/>
          <w:szCs w:val="24"/>
        </w:rPr>
        <w:t>the micro-level analys</w:t>
      </w:r>
      <w:r>
        <w:rPr>
          <w:sz w:val="24"/>
          <w:szCs w:val="24"/>
        </w:rPr>
        <w:t>e</w:t>
      </w:r>
      <w:r w:rsidRPr="001D4DF5">
        <w:rPr>
          <w:sz w:val="24"/>
          <w:szCs w:val="24"/>
        </w:rPr>
        <w:t xml:space="preserve">s that </w:t>
      </w:r>
      <w:r>
        <w:rPr>
          <w:sz w:val="24"/>
          <w:szCs w:val="24"/>
        </w:rPr>
        <w:t>are</w:t>
      </w:r>
      <w:r w:rsidRPr="001D4DF5">
        <w:rPr>
          <w:sz w:val="24"/>
          <w:szCs w:val="24"/>
        </w:rPr>
        <w:t xml:space="preserve"> explain</w:t>
      </w:r>
      <w:r>
        <w:rPr>
          <w:sz w:val="24"/>
          <w:szCs w:val="24"/>
        </w:rPr>
        <w:t>ed</w:t>
      </w:r>
      <w:r w:rsidRPr="001D4DF5">
        <w:rPr>
          <w:sz w:val="24"/>
          <w:szCs w:val="24"/>
        </w:rPr>
        <w:t xml:space="preserve"> in Chapters 5 and 6. In additional, a buffer zone</w:t>
      </w:r>
      <w:r>
        <w:rPr>
          <w:sz w:val="24"/>
          <w:szCs w:val="24"/>
        </w:rPr>
        <w:t>, shown in red,</w:t>
      </w:r>
      <w:r w:rsidRPr="001D4DF5">
        <w:rPr>
          <w:sz w:val="24"/>
          <w:szCs w:val="24"/>
        </w:rPr>
        <w:t xml:space="preserve"> was created around the defined retailing zone to avoid boundary problems associated with edge effects.</w:t>
      </w:r>
    </w:p>
    <w:p w14:paraId="39F0201C" w14:textId="77777777" w:rsidR="0032572F" w:rsidRDefault="0032572F">
      <w:pPr>
        <w:spacing w:after="200" w:line="276" w:lineRule="auto"/>
        <w:rPr>
          <w:rFonts w:asciiTheme="minorHAnsi" w:eastAsiaTheme="minorHAnsi" w:hAnsiTheme="minorHAnsi" w:cstheme="minorBidi"/>
          <w:b/>
          <w:bCs/>
          <w:sz w:val="22"/>
          <w:szCs w:val="22"/>
          <w:lang w:eastAsia="en-US"/>
        </w:rPr>
      </w:pPr>
      <w:r>
        <w:rPr>
          <w:b/>
          <w:bCs/>
        </w:rPr>
        <w:br w:type="page"/>
      </w:r>
    </w:p>
    <w:p w14:paraId="607CBAE7" w14:textId="112A6D2E" w:rsidR="006A6BC7" w:rsidRPr="006A6BC7" w:rsidRDefault="006A6BC7" w:rsidP="008B0101">
      <w:pPr>
        <w:pStyle w:val="NoSpacing"/>
        <w:spacing w:line="360" w:lineRule="auto"/>
        <w:rPr>
          <w:b/>
          <w:bCs/>
        </w:rPr>
      </w:pPr>
      <w:r w:rsidRPr="006A6BC7">
        <w:rPr>
          <w:b/>
          <w:bCs/>
        </w:rPr>
        <w:lastRenderedPageBreak/>
        <w:t>Figure</w:t>
      </w:r>
      <w:r>
        <w:rPr>
          <w:b/>
          <w:bCs/>
        </w:rPr>
        <w:t xml:space="preserve"> </w:t>
      </w:r>
      <w:r w:rsidR="00F40858">
        <w:rPr>
          <w:b/>
          <w:bCs/>
        </w:rPr>
        <w:t>8</w:t>
      </w:r>
      <w:r w:rsidRPr="006A6BC7">
        <w:rPr>
          <w:b/>
          <w:bCs/>
        </w:rPr>
        <w:t xml:space="preserve">. </w:t>
      </w:r>
      <w:r w:rsidR="0032572F">
        <w:rPr>
          <w:b/>
          <w:bCs/>
        </w:rPr>
        <w:t xml:space="preserve"> </w:t>
      </w:r>
      <w:r w:rsidR="00754F07">
        <w:rPr>
          <w:b/>
          <w:bCs/>
        </w:rPr>
        <w:t>Study Areas Definitions</w:t>
      </w:r>
    </w:p>
    <w:tbl>
      <w:tblPr>
        <w:tblW w:w="9636" w:type="dxa"/>
        <w:tblLook w:val="04A0" w:firstRow="1" w:lastRow="0" w:firstColumn="1" w:lastColumn="0" w:noHBand="0" w:noVBand="1"/>
      </w:tblPr>
      <w:tblGrid>
        <w:gridCol w:w="9636"/>
      </w:tblGrid>
      <w:tr w:rsidR="009A597F" w:rsidRPr="00410B19" w14:paraId="672FB50A" w14:textId="77777777" w:rsidTr="00754F07">
        <w:tc>
          <w:tcPr>
            <w:tcW w:w="9636" w:type="dxa"/>
          </w:tcPr>
          <w:p w14:paraId="74FD02DB" w14:textId="2A65A473" w:rsidR="009A597F" w:rsidRPr="00741EEC" w:rsidRDefault="009A597F" w:rsidP="00B15FBD">
            <w:pPr>
              <w:pStyle w:val="NormalWeb"/>
              <w:rPr>
                <w:rFonts w:asciiTheme="minorHAnsi" w:hAnsiTheme="minorHAnsi"/>
                <w:b/>
                <w:bCs/>
                <w:color w:val="211E1E"/>
                <w:sz w:val="22"/>
                <w:szCs w:val="22"/>
              </w:rPr>
            </w:pPr>
            <w:r w:rsidRPr="00741EEC">
              <w:rPr>
                <w:rFonts w:asciiTheme="minorHAnsi" w:hAnsiTheme="minorHAnsi"/>
                <w:b/>
                <w:bCs/>
                <w:color w:val="211E1E"/>
                <w:sz w:val="22"/>
                <w:szCs w:val="22"/>
              </w:rPr>
              <w:t>(a) Edinburgh</w:t>
            </w:r>
            <w:r w:rsidR="00754F07" w:rsidRPr="00741EEC">
              <w:rPr>
                <w:rFonts w:asciiTheme="minorHAnsi" w:hAnsiTheme="minorHAnsi"/>
                <w:b/>
                <w:bCs/>
                <w:color w:val="211E1E"/>
                <w:sz w:val="22"/>
                <w:szCs w:val="22"/>
              </w:rPr>
              <w:t>’s</w:t>
            </w:r>
            <w:r w:rsidRPr="00741EEC">
              <w:rPr>
                <w:rFonts w:asciiTheme="minorHAnsi" w:hAnsiTheme="minorHAnsi"/>
                <w:b/>
                <w:bCs/>
                <w:color w:val="211E1E"/>
                <w:sz w:val="22"/>
                <w:szCs w:val="22"/>
              </w:rPr>
              <w:t xml:space="preserve"> </w:t>
            </w:r>
            <w:r w:rsidR="00754F07" w:rsidRPr="00741EEC">
              <w:rPr>
                <w:rFonts w:asciiTheme="minorHAnsi" w:hAnsiTheme="minorHAnsi"/>
                <w:b/>
                <w:bCs/>
                <w:color w:val="211E1E"/>
                <w:sz w:val="22"/>
                <w:szCs w:val="22"/>
              </w:rPr>
              <w:t>Principal Retail Area Boundaries and Study Area</w:t>
            </w:r>
          </w:p>
        </w:tc>
      </w:tr>
      <w:tr w:rsidR="009A597F" w:rsidRPr="00410B19" w14:paraId="69E6821D" w14:textId="77777777" w:rsidTr="00754F07">
        <w:tc>
          <w:tcPr>
            <w:tcW w:w="9636" w:type="dxa"/>
          </w:tcPr>
          <w:p w14:paraId="2C412497" w14:textId="6AFF651D" w:rsidR="009A597F" w:rsidRPr="00410B19" w:rsidRDefault="00825D3E" w:rsidP="00131B84">
            <w:pPr>
              <w:pStyle w:val="NormalWeb"/>
              <w:tabs>
                <w:tab w:val="left" w:pos="8115"/>
              </w:tabs>
              <w:rPr>
                <w:rFonts w:asciiTheme="minorHAnsi" w:hAnsiTheme="minorHAnsi"/>
                <w:color w:val="211E1E"/>
                <w:sz w:val="22"/>
                <w:szCs w:val="22"/>
              </w:rPr>
            </w:pPr>
            <w:r>
              <w:rPr>
                <w:rFonts w:asciiTheme="minorHAnsi" w:hAnsiTheme="minorHAnsi"/>
                <w:noProof/>
                <w:color w:val="211E1E"/>
                <w:sz w:val="22"/>
                <w:szCs w:val="22"/>
              </w:rPr>
              <w:drawing>
                <wp:inline distT="0" distB="0" distL="0" distR="0" wp14:anchorId="62D6F8CD" wp14:editId="10F99C51">
                  <wp:extent cx="4824095" cy="2771344"/>
                  <wp:effectExtent l="0" t="0" r="1905" b="0"/>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859571" cy="2791725"/>
                          </a:xfrm>
                          <a:prstGeom prst="rect">
                            <a:avLst/>
                          </a:prstGeom>
                        </pic:spPr>
                      </pic:pic>
                    </a:graphicData>
                  </a:graphic>
                </wp:inline>
              </w:drawing>
            </w:r>
          </w:p>
        </w:tc>
      </w:tr>
      <w:tr w:rsidR="009A597F" w:rsidRPr="00410B19" w14:paraId="4DEB8702" w14:textId="77777777" w:rsidTr="00754F07">
        <w:tc>
          <w:tcPr>
            <w:tcW w:w="9636" w:type="dxa"/>
          </w:tcPr>
          <w:p w14:paraId="3DF07CAB" w14:textId="77777777" w:rsidR="009A597F" w:rsidRDefault="009A597F" w:rsidP="009A597F">
            <w:pPr>
              <w:pStyle w:val="NormalWeb"/>
              <w:rPr>
                <w:rFonts w:asciiTheme="minorHAnsi" w:hAnsiTheme="minorHAnsi"/>
                <w:color w:val="211E1E"/>
                <w:sz w:val="22"/>
                <w:szCs w:val="22"/>
              </w:rPr>
            </w:pPr>
          </w:p>
        </w:tc>
      </w:tr>
      <w:tr w:rsidR="009A597F" w:rsidRPr="00410B19" w14:paraId="1762EFF2" w14:textId="77777777" w:rsidTr="00754F07">
        <w:tc>
          <w:tcPr>
            <w:tcW w:w="9636" w:type="dxa"/>
          </w:tcPr>
          <w:p w14:paraId="2C59F62C" w14:textId="1A8242D1" w:rsidR="009A597F" w:rsidRPr="00741EEC" w:rsidRDefault="009A597F" w:rsidP="009A597F">
            <w:pPr>
              <w:pStyle w:val="NormalWeb"/>
              <w:rPr>
                <w:rFonts w:asciiTheme="minorHAnsi" w:hAnsiTheme="minorHAnsi"/>
                <w:b/>
                <w:bCs/>
                <w:color w:val="211E1E"/>
                <w:sz w:val="22"/>
                <w:szCs w:val="22"/>
              </w:rPr>
            </w:pPr>
            <w:r w:rsidRPr="00741EEC">
              <w:rPr>
                <w:rFonts w:asciiTheme="minorHAnsi" w:hAnsiTheme="minorHAnsi"/>
                <w:b/>
                <w:bCs/>
                <w:color w:val="211E1E"/>
                <w:sz w:val="22"/>
                <w:szCs w:val="22"/>
              </w:rPr>
              <w:t>(b) Glasgow</w:t>
            </w:r>
            <w:r w:rsidR="00754F07" w:rsidRPr="00741EEC">
              <w:rPr>
                <w:rFonts w:asciiTheme="minorHAnsi" w:hAnsiTheme="minorHAnsi"/>
                <w:b/>
                <w:bCs/>
                <w:color w:val="211E1E"/>
                <w:sz w:val="22"/>
                <w:szCs w:val="22"/>
              </w:rPr>
              <w:t xml:space="preserve">’s Principal Retail Area Boundaries and Study </w:t>
            </w:r>
            <w:r w:rsidRPr="00741EEC">
              <w:rPr>
                <w:rFonts w:asciiTheme="minorHAnsi" w:hAnsiTheme="minorHAnsi"/>
                <w:b/>
                <w:bCs/>
                <w:color w:val="211E1E"/>
                <w:sz w:val="22"/>
                <w:szCs w:val="22"/>
              </w:rPr>
              <w:t>Area</w:t>
            </w:r>
          </w:p>
        </w:tc>
      </w:tr>
      <w:tr w:rsidR="009A597F" w:rsidRPr="00410B19" w14:paraId="5F0EA0A8" w14:textId="77777777" w:rsidTr="00754F07">
        <w:tc>
          <w:tcPr>
            <w:tcW w:w="9636" w:type="dxa"/>
          </w:tcPr>
          <w:p w14:paraId="499BCC43" w14:textId="1F480CCC" w:rsidR="009A597F" w:rsidRPr="00410B19" w:rsidRDefault="00825D3E" w:rsidP="00364F89">
            <w:pPr>
              <w:pStyle w:val="NormalWeb"/>
              <w:rPr>
                <w:rFonts w:asciiTheme="minorHAnsi" w:hAnsiTheme="minorHAnsi"/>
                <w:color w:val="211E1E"/>
                <w:sz w:val="22"/>
                <w:szCs w:val="22"/>
              </w:rPr>
            </w:pPr>
            <w:r>
              <w:rPr>
                <w:rFonts w:asciiTheme="minorHAnsi" w:hAnsiTheme="minorHAnsi"/>
                <w:noProof/>
                <w:color w:val="211E1E"/>
                <w:sz w:val="22"/>
                <w:szCs w:val="22"/>
              </w:rPr>
              <w:drawing>
                <wp:inline distT="0" distB="0" distL="0" distR="0" wp14:anchorId="2A1FB944" wp14:editId="5A2E8771">
                  <wp:extent cx="4824362" cy="4677254"/>
                  <wp:effectExtent l="0" t="0" r="1905" b="0"/>
                  <wp:docPr id="137" name="Picture 13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Map&#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4853627" cy="4705627"/>
                          </a:xfrm>
                          <a:prstGeom prst="rect">
                            <a:avLst/>
                          </a:prstGeom>
                        </pic:spPr>
                      </pic:pic>
                    </a:graphicData>
                  </a:graphic>
                </wp:inline>
              </w:drawing>
            </w:r>
          </w:p>
        </w:tc>
      </w:tr>
    </w:tbl>
    <w:p w14:paraId="1EC22EA9" w14:textId="332E753E" w:rsidR="0032572F" w:rsidRDefault="0032572F"/>
    <w:p w14:paraId="1854A8D0" w14:textId="77777777" w:rsidR="00BC4A78" w:rsidRDefault="00BC4A78"/>
    <w:tbl>
      <w:tblPr>
        <w:tblW w:w="9636" w:type="dxa"/>
        <w:tblLook w:val="04A0" w:firstRow="1" w:lastRow="0" w:firstColumn="1" w:lastColumn="0" w:noHBand="0" w:noVBand="1"/>
      </w:tblPr>
      <w:tblGrid>
        <w:gridCol w:w="9636"/>
      </w:tblGrid>
      <w:tr w:rsidR="009A597F" w:rsidRPr="00410B19" w14:paraId="0A3D9B66" w14:textId="77777777" w:rsidTr="00754F07">
        <w:tc>
          <w:tcPr>
            <w:tcW w:w="9636" w:type="dxa"/>
          </w:tcPr>
          <w:p w14:paraId="4B1A9356" w14:textId="4C0CB680" w:rsidR="009A597F" w:rsidRPr="00741EEC" w:rsidRDefault="009A597F" w:rsidP="009A597F">
            <w:pPr>
              <w:pStyle w:val="NormalWeb"/>
              <w:rPr>
                <w:rFonts w:asciiTheme="minorHAnsi" w:hAnsiTheme="minorHAnsi"/>
                <w:b/>
                <w:bCs/>
                <w:color w:val="211E1E"/>
                <w:sz w:val="22"/>
                <w:szCs w:val="22"/>
              </w:rPr>
            </w:pPr>
            <w:r w:rsidRPr="00741EEC">
              <w:rPr>
                <w:rFonts w:asciiTheme="minorHAnsi" w:hAnsiTheme="minorHAnsi"/>
                <w:b/>
                <w:bCs/>
                <w:color w:val="211E1E"/>
                <w:sz w:val="22"/>
                <w:szCs w:val="22"/>
              </w:rPr>
              <w:lastRenderedPageBreak/>
              <w:t>(c) Hull</w:t>
            </w:r>
            <w:r w:rsidR="00754F07" w:rsidRPr="00741EEC">
              <w:rPr>
                <w:rFonts w:asciiTheme="minorHAnsi" w:hAnsiTheme="minorHAnsi"/>
                <w:b/>
                <w:bCs/>
                <w:color w:val="211E1E"/>
                <w:sz w:val="22"/>
                <w:szCs w:val="22"/>
              </w:rPr>
              <w:t>’s</w:t>
            </w:r>
            <w:r w:rsidRPr="00741EEC">
              <w:rPr>
                <w:rFonts w:asciiTheme="minorHAnsi" w:hAnsiTheme="minorHAnsi"/>
                <w:b/>
                <w:bCs/>
                <w:color w:val="211E1E"/>
                <w:sz w:val="22"/>
                <w:szCs w:val="22"/>
              </w:rPr>
              <w:t xml:space="preserve"> Primary Shopping Area</w:t>
            </w:r>
            <w:r w:rsidR="00754F07" w:rsidRPr="00741EEC">
              <w:rPr>
                <w:rFonts w:asciiTheme="minorHAnsi" w:hAnsiTheme="minorHAnsi"/>
                <w:b/>
                <w:bCs/>
                <w:color w:val="211E1E"/>
                <w:sz w:val="22"/>
                <w:szCs w:val="22"/>
              </w:rPr>
              <w:t xml:space="preserve"> Boundaries</w:t>
            </w:r>
            <w:r w:rsidRPr="00741EEC">
              <w:rPr>
                <w:rStyle w:val="FootnoteReference"/>
                <w:rFonts w:asciiTheme="minorHAnsi" w:hAnsiTheme="minorHAnsi"/>
                <w:b/>
                <w:bCs/>
                <w:color w:val="211E1E"/>
                <w:sz w:val="22"/>
                <w:szCs w:val="22"/>
              </w:rPr>
              <w:footnoteReference w:id="1"/>
            </w:r>
            <w:r w:rsidR="00754F07" w:rsidRPr="00741EEC">
              <w:rPr>
                <w:rFonts w:asciiTheme="minorHAnsi" w:hAnsiTheme="minorHAnsi"/>
                <w:b/>
                <w:bCs/>
                <w:color w:val="211E1E"/>
                <w:sz w:val="22"/>
                <w:szCs w:val="22"/>
              </w:rPr>
              <w:t xml:space="preserve"> and Study Area</w:t>
            </w:r>
          </w:p>
        </w:tc>
      </w:tr>
      <w:tr w:rsidR="009A597F" w:rsidRPr="00410B19" w14:paraId="6560B14D" w14:textId="77777777" w:rsidTr="00754F07">
        <w:tc>
          <w:tcPr>
            <w:tcW w:w="9636" w:type="dxa"/>
          </w:tcPr>
          <w:p w14:paraId="787F42E9" w14:textId="3829C32B" w:rsidR="009A597F" w:rsidRPr="00410B19" w:rsidRDefault="00825D3E" w:rsidP="009A597F">
            <w:pPr>
              <w:pStyle w:val="NormalWeb"/>
              <w:rPr>
                <w:rFonts w:asciiTheme="minorHAnsi" w:hAnsiTheme="minorHAnsi"/>
                <w:color w:val="211E1E"/>
                <w:sz w:val="22"/>
                <w:szCs w:val="22"/>
              </w:rPr>
            </w:pPr>
            <w:r>
              <w:rPr>
                <w:rFonts w:asciiTheme="minorHAnsi" w:hAnsiTheme="minorHAnsi"/>
                <w:noProof/>
                <w:color w:val="211E1E"/>
                <w:sz w:val="22"/>
                <w:szCs w:val="22"/>
              </w:rPr>
              <w:drawing>
                <wp:inline distT="0" distB="0" distL="0" distR="0" wp14:anchorId="35312B87" wp14:editId="1E0D8E1A">
                  <wp:extent cx="4843545" cy="3595608"/>
                  <wp:effectExtent l="0" t="0" r="0" b="0"/>
                  <wp:docPr id="152" name="Picture 15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Map&#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4875232" cy="3619131"/>
                          </a:xfrm>
                          <a:prstGeom prst="rect">
                            <a:avLst/>
                          </a:prstGeom>
                        </pic:spPr>
                      </pic:pic>
                    </a:graphicData>
                  </a:graphic>
                </wp:inline>
              </w:drawing>
            </w:r>
          </w:p>
        </w:tc>
      </w:tr>
      <w:tr w:rsidR="009A597F" w:rsidRPr="00410B19" w14:paraId="3E004E83" w14:textId="77777777" w:rsidTr="00754F07">
        <w:tc>
          <w:tcPr>
            <w:tcW w:w="9636" w:type="dxa"/>
          </w:tcPr>
          <w:p w14:paraId="58EAAD1E" w14:textId="77777777" w:rsidR="009A597F" w:rsidRDefault="009A597F" w:rsidP="009A597F">
            <w:pPr>
              <w:pStyle w:val="NormalWeb"/>
              <w:rPr>
                <w:rFonts w:asciiTheme="minorHAnsi" w:hAnsiTheme="minorHAnsi"/>
                <w:color w:val="211E1E"/>
                <w:sz w:val="22"/>
                <w:szCs w:val="22"/>
              </w:rPr>
            </w:pPr>
          </w:p>
        </w:tc>
      </w:tr>
      <w:tr w:rsidR="009A597F" w:rsidRPr="00410B19" w14:paraId="427903E0" w14:textId="77777777" w:rsidTr="00754F07">
        <w:tc>
          <w:tcPr>
            <w:tcW w:w="9636" w:type="dxa"/>
          </w:tcPr>
          <w:p w14:paraId="497ECDCF" w14:textId="03925E32" w:rsidR="009A597F" w:rsidRPr="00741EEC" w:rsidRDefault="009A597F" w:rsidP="00364F89">
            <w:pPr>
              <w:pStyle w:val="NormalWeb"/>
              <w:tabs>
                <w:tab w:val="left" w:pos="8123"/>
              </w:tabs>
              <w:rPr>
                <w:rFonts w:asciiTheme="minorHAnsi" w:hAnsiTheme="minorHAnsi"/>
                <w:b/>
                <w:bCs/>
                <w:color w:val="211E1E"/>
                <w:sz w:val="22"/>
                <w:szCs w:val="22"/>
              </w:rPr>
            </w:pPr>
            <w:r w:rsidRPr="00741EEC">
              <w:rPr>
                <w:rFonts w:asciiTheme="minorHAnsi" w:hAnsiTheme="minorHAnsi"/>
                <w:b/>
                <w:bCs/>
                <w:color w:val="211E1E"/>
                <w:sz w:val="22"/>
                <w:szCs w:val="22"/>
              </w:rPr>
              <w:t>(d) Liverpool</w:t>
            </w:r>
            <w:r w:rsidR="00754F07" w:rsidRPr="00741EEC">
              <w:rPr>
                <w:rFonts w:asciiTheme="minorHAnsi" w:hAnsiTheme="minorHAnsi"/>
                <w:b/>
                <w:bCs/>
                <w:color w:val="211E1E"/>
                <w:sz w:val="22"/>
                <w:szCs w:val="22"/>
              </w:rPr>
              <w:t>’s</w:t>
            </w:r>
            <w:r w:rsidRPr="00741EEC">
              <w:rPr>
                <w:rFonts w:asciiTheme="minorHAnsi" w:hAnsiTheme="minorHAnsi"/>
                <w:b/>
                <w:bCs/>
                <w:color w:val="211E1E"/>
                <w:sz w:val="22"/>
                <w:szCs w:val="22"/>
              </w:rPr>
              <w:t xml:space="preserve"> Primary Shopping Area</w:t>
            </w:r>
            <w:r w:rsidR="00754F07" w:rsidRPr="00741EEC">
              <w:rPr>
                <w:rFonts w:asciiTheme="minorHAnsi" w:hAnsiTheme="minorHAnsi"/>
                <w:b/>
                <w:bCs/>
                <w:color w:val="211E1E"/>
                <w:sz w:val="22"/>
                <w:szCs w:val="22"/>
              </w:rPr>
              <w:t xml:space="preserve"> Boundaries and Study Area</w:t>
            </w:r>
          </w:p>
        </w:tc>
      </w:tr>
      <w:tr w:rsidR="009A597F" w:rsidRPr="00410B19" w14:paraId="61758A5C" w14:textId="77777777" w:rsidTr="00754F07">
        <w:tc>
          <w:tcPr>
            <w:tcW w:w="9636" w:type="dxa"/>
          </w:tcPr>
          <w:p w14:paraId="37966E22" w14:textId="224D8A6A" w:rsidR="009A597F" w:rsidRPr="00410B19" w:rsidRDefault="00825D3E" w:rsidP="009A597F">
            <w:pPr>
              <w:pStyle w:val="NormalWeb"/>
              <w:rPr>
                <w:rFonts w:asciiTheme="minorHAnsi" w:hAnsiTheme="minorHAnsi"/>
                <w:color w:val="211E1E"/>
                <w:sz w:val="22"/>
                <w:szCs w:val="22"/>
              </w:rPr>
            </w:pPr>
            <w:r>
              <w:rPr>
                <w:rFonts w:asciiTheme="minorHAnsi" w:hAnsiTheme="minorHAnsi"/>
                <w:noProof/>
                <w:color w:val="211E1E"/>
                <w:sz w:val="22"/>
                <w:szCs w:val="22"/>
              </w:rPr>
              <w:drawing>
                <wp:inline distT="0" distB="0" distL="0" distR="0" wp14:anchorId="13C3D728" wp14:editId="587043F1">
                  <wp:extent cx="4841903" cy="3246112"/>
                  <wp:effectExtent l="0" t="0" r="0" b="5715"/>
                  <wp:docPr id="153" name="Picture 1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4857957" cy="3256875"/>
                          </a:xfrm>
                          <a:prstGeom prst="rect">
                            <a:avLst/>
                          </a:prstGeom>
                        </pic:spPr>
                      </pic:pic>
                    </a:graphicData>
                  </a:graphic>
                </wp:inline>
              </w:drawing>
            </w:r>
          </w:p>
        </w:tc>
      </w:tr>
    </w:tbl>
    <w:p w14:paraId="6BB251DA" w14:textId="5F8EDCD3" w:rsidR="00754F07" w:rsidRDefault="00754F07"/>
    <w:p w14:paraId="06BA682B" w14:textId="4B5D0CB9" w:rsidR="00301A7A" w:rsidRDefault="00301A7A"/>
    <w:p w14:paraId="4BBDF74A" w14:textId="02DCEC83" w:rsidR="00825D3E" w:rsidRDefault="00825D3E"/>
    <w:p w14:paraId="706A12DC" w14:textId="77777777" w:rsidR="00BC4A78" w:rsidRDefault="00BC4A78"/>
    <w:tbl>
      <w:tblPr>
        <w:tblW w:w="9636" w:type="dxa"/>
        <w:tblLook w:val="04A0" w:firstRow="1" w:lastRow="0" w:firstColumn="1" w:lastColumn="0" w:noHBand="0" w:noVBand="1"/>
      </w:tblPr>
      <w:tblGrid>
        <w:gridCol w:w="9636"/>
      </w:tblGrid>
      <w:tr w:rsidR="009A597F" w:rsidRPr="00410B19" w14:paraId="78D2E949" w14:textId="77777777" w:rsidTr="00754F07">
        <w:tc>
          <w:tcPr>
            <w:tcW w:w="9636" w:type="dxa"/>
          </w:tcPr>
          <w:p w14:paraId="7859F8A3" w14:textId="6248CDC2" w:rsidR="009A597F" w:rsidRPr="00741EEC" w:rsidRDefault="009A597F" w:rsidP="009A597F">
            <w:pPr>
              <w:pStyle w:val="NormalWeb"/>
              <w:rPr>
                <w:rFonts w:asciiTheme="minorHAnsi" w:hAnsiTheme="minorHAnsi"/>
                <w:b/>
                <w:bCs/>
                <w:color w:val="211E1E"/>
                <w:sz w:val="22"/>
                <w:szCs w:val="22"/>
              </w:rPr>
            </w:pPr>
            <w:r w:rsidRPr="00741EEC">
              <w:rPr>
                <w:rFonts w:asciiTheme="minorHAnsi" w:hAnsiTheme="minorHAnsi"/>
                <w:b/>
                <w:bCs/>
                <w:color w:val="211E1E"/>
                <w:sz w:val="22"/>
                <w:szCs w:val="22"/>
              </w:rPr>
              <w:lastRenderedPageBreak/>
              <w:t>(e) Nottingham</w:t>
            </w:r>
            <w:r w:rsidR="00754F07" w:rsidRPr="00741EEC">
              <w:rPr>
                <w:rFonts w:asciiTheme="minorHAnsi" w:hAnsiTheme="minorHAnsi"/>
                <w:b/>
                <w:bCs/>
                <w:color w:val="211E1E"/>
                <w:sz w:val="22"/>
                <w:szCs w:val="22"/>
              </w:rPr>
              <w:t>’s</w:t>
            </w:r>
            <w:r w:rsidRPr="00741EEC">
              <w:rPr>
                <w:rFonts w:asciiTheme="minorHAnsi" w:hAnsiTheme="minorHAnsi"/>
                <w:b/>
                <w:bCs/>
                <w:color w:val="211E1E"/>
                <w:sz w:val="22"/>
                <w:szCs w:val="22"/>
              </w:rPr>
              <w:t xml:space="preserve"> Primary Shopping Area</w:t>
            </w:r>
            <w:r w:rsidR="00754F07" w:rsidRPr="00741EEC">
              <w:rPr>
                <w:rFonts w:asciiTheme="minorHAnsi" w:hAnsiTheme="minorHAnsi"/>
                <w:b/>
                <w:bCs/>
                <w:color w:val="211E1E"/>
                <w:sz w:val="22"/>
                <w:szCs w:val="22"/>
              </w:rPr>
              <w:t xml:space="preserve"> Boundaries and Study Area</w:t>
            </w:r>
          </w:p>
        </w:tc>
      </w:tr>
      <w:tr w:rsidR="009A597F" w:rsidRPr="00410B19" w14:paraId="4BCEBCE6" w14:textId="77777777" w:rsidTr="00754F07">
        <w:tc>
          <w:tcPr>
            <w:tcW w:w="9636" w:type="dxa"/>
          </w:tcPr>
          <w:p w14:paraId="4E4C9ECA" w14:textId="238D8FA5" w:rsidR="009A597F" w:rsidRPr="00410B19" w:rsidRDefault="00825D3E" w:rsidP="009A597F">
            <w:pPr>
              <w:pStyle w:val="NormalWeb"/>
              <w:rPr>
                <w:rFonts w:asciiTheme="minorHAnsi" w:hAnsiTheme="minorHAnsi"/>
                <w:color w:val="211E1E"/>
                <w:sz w:val="22"/>
                <w:szCs w:val="22"/>
              </w:rPr>
            </w:pPr>
            <w:r>
              <w:rPr>
                <w:rFonts w:asciiTheme="minorHAnsi" w:hAnsiTheme="minorHAnsi"/>
                <w:noProof/>
                <w:color w:val="211E1E"/>
                <w:sz w:val="22"/>
                <w:szCs w:val="22"/>
              </w:rPr>
              <w:drawing>
                <wp:inline distT="0" distB="0" distL="0" distR="0" wp14:anchorId="08CC79BF" wp14:editId="01B6C4D5">
                  <wp:extent cx="4769698" cy="4183873"/>
                  <wp:effectExtent l="0" t="0" r="5715" b="0"/>
                  <wp:docPr id="154" name="Picture 15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Map&#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4790390" cy="4202023"/>
                          </a:xfrm>
                          <a:prstGeom prst="rect">
                            <a:avLst/>
                          </a:prstGeom>
                        </pic:spPr>
                      </pic:pic>
                    </a:graphicData>
                  </a:graphic>
                </wp:inline>
              </w:drawing>
            </w:r>
          </w:p>
        </w:tc>
      </w:tr>
    </w:tbl>
    <w:p w14:paraId="62FF19A6" w14:textId="6F87D4D6" w:rsidR="0046336A" w:rsidRPr="001D4DF5" w:rsidRDefault="0046336A" w:rsidP="001D4DF5">
      <w:pPr>
        <w:pStyle w:val="NoSpacing"/>
        <w:spacing w:line="360" w:lineRule="auto"/>
        <w:jc w:val="both"/>
        <w:rPr>
          <w:sz w:val="24"/>
          <w:szCs w:val="24"/>
        </w:rPr>
      </w:pPr>
    </w:p>
    <w:p w14:paraId="1CD73505" w14:textId="7D64C3BF" w:rsidR="006B4A0C" w:rsidRPr="001D4DF5" w:rsidRDefault="0046336A" w:rsidP="00BC4A78">
      <w:pPr>
        <w:pStyle w:val="NoSpacing"/>
        <w:spacing w:line="360" w:lineRule="auto"/>
        <w:jc w:val="both"/>
        <w:rPr>
          <w:sz w:val="24"/>
          <w:szCs w:val="24"/>
        </w:rPr>
      </w:pPr>
      <w:r w:rsidRPr="001D4DF5">
        <w:rPr>
          <w:sz w:val="24"/>
          <w:szCs w:val="24"/>
        </w:rPr>
        <w:t>In spatial analysis</w:t>
      </w:r>
      <w:r w:rsidR="00BC4A78">
        <w:rPr>
          <w:sz w:val="24"/>
          <w:szCs w:val="24"/>
        </w:rPr>
        <w:t>,</w:t>
      </w:r>
      <w:r w:rsidRPr="001D4DF5">
        <w:rPr>
          <w:sz w:val="24"/>
          <w:szCs w:val="24"/>
        </w:rPr>
        <w:t xml:space="preserve"> boundary effects are a form of bias that occurs in statistical analysis when a neighbouring unit of analysis is </w:t>
      </w:r>
      <w:r w:rsidR="00110043" w:rsidRPr="001D4DF5">
        <w:rPr>
          <w:sz w:val="24"/>
          <w:szCs w:val="24"/>
        </w:rPr>
        <w:t xml:space="preserve">excluded </w:t>
      </w:r>
      <w:r w:rsidRPr="001D4DF5">
        <w:rPr>
          <w:sz w:val="24"/>
          <w:szCs w:val="24"/>
        </w:rPr>
        <w:t xml:space="preserve">but </w:t>
      </w:r>
      <w:r w:rsidR="001D4DF5">
        <w:rPr>
          <w:sz w:val="24"/>
          <w:szCs w:val="24"/>
        </w:rPr>
        <w:t xml:space="preserve">influences </w:t>
      </w:r>
      <w:r w:rsidRPr="001D4DF5">
        <w:rPr>
          <w:sz w:val="24"/>
          <w:szCs w:val="24"/>
        </w:rPr>
        <w:t xml:space="preserve">the values of </w:t>
      </w:r>
      <w:r w:rsidR="001D4DF5">
        <w:rPr>
          <w:sz w:val="24"/>
          <w:szCs w:val="24"/>
        </w:rPr>
        <w:t>its</w:t>
      </w:r>
      <w:r w:rsidRPr="001D4DF5">
        <w:rPr>
          <w:sz w:val="24"/>
          <w:szCs w:val="24"/>
        </w:rPr>
        <w:t xml:space="preserve"> neighbours. </w:t>
      </w:r>
      <w:r w:rsidR="00110043" w:rsidRPr="001D4DF5">
        <w:rPr>
          <w:sz w:val="24"/>
          <w:szCs w:val="24"/>
        </w:rPr>
        <w:t xml:space="preserve">This is a particular problem when using spatial point </w:t>
      </w:r>
      <w:r w:rsidR="001D4DF5">
        <w:rPr>
          <w:sz w:val="24"/>
          <w:szCs w:val="24"/>
        </w:rPr>
        <w:t>data</w:t>
      </w:r>
      <w:r w:rsidR="00110043" w:rsidRPr="001D4DF5">
        <w:rPr>
          <w:sz w:val="24"/>
          <w:szCs w:val="24"/>
        </w:rPr>
        <w:t>. A</w:t>
      </w:r>
      <w:r w:rsidRPr="001D4DF5">
        <w:rPr>
          <w:sz w:val="24"/>
          <w:szCs w:val="24"/>
        </w:rPr>
        <w:t xml:space="preserve"> common technique </w:t>
      </w:r>
      <w:r w:rsidR="00110043" w:rsidRPr="001D4DF5">
        <w:rPr>
          <w:sz w:val="24"/>
          <w:szCs w:val="24"/>
        </w:rPr>
        <w:t xml:space="preserve">used to avoid this bias </w:t>
      </w:r>
      <w:r w:rsidRPr="001D4DF5">
        <w:rPr>
          <w:sz w:val="24"/>
          <w:szCs w:val="24"/>
        </w:rPr>
        <w:t xml:space="preserve">is to include a buffer zone </w:t>
      </w:r>
      <w:r w:rsidR="00110043" w:rsidRPr="001D4DF5">
        <w:rPr>
          <w:sz w:val="24"/>
          <w:szCs w:val="24"/>
        </w:rPr>
        <w:t xml:space="preserve">where property units beyond the retail </w:t>
      </w:r>
      <w:r w:rsidR="0032572F">
        <w:rPr>
          <w:sz w:val="24"/>
          <w:szCs w:val="24"/>
        </w:rPr>
        <w:t>core</w:t>
      </w:r>
      <w:r w:rsidR="00110043" w:rsidRPr="001D4DF5">
        <w:rPr>
          <w:sz w:val="24"/>
          <w:szCs w:val="24"/>
        </w:rPr>
        <w:t xml:space="preserve"> are examined in terms of their effect on points within the study area but are not analysed in any other way so that edge effects are eliminated from the study area (Fotheringham and Rogerson, </w:t>
      </w:r>
      <w:r w:rsidR="00E84A73" w:rsidRPr="001D4DF5">
        <w:rPr>
          <w:sz w:val="24"/>
          <w:szCs w:val="24"/>
        </w:rPr>
        <w:t>1993</w:t>
      </w:r>
      <w:r w:rsidR="00110043" w:rsidRPr="001D4DF5">
        <w:rPr>
          <w:sz w:val="24"/>
          <w:szCs w:val="24"/>
        </w:rPr>
        <w:t>).</w:t>
      </w:r>
      <w:r w:rsidR="00572DB8" w:rsidRPr="001D4DF5">
        <w:rPr>
          <w:sz w:val="24"/>
          <w:szCs w:val="24"/>
        </w:rPr>
        <w:t xml:space="preserve"> </w:t>
      </w:r>
      <w:r w:rsidR="00131B84">
        <w:rPr>
          <w:sz w:val="24"/>
          <w:szCs w:val="24"/>
        </w:rPr>
        <w:t xml:space="preserve">Rather than pick an arbitrary </w:t>
      </w:r>
      <w:r w:rsidR="00E84A73" w:rsidRPr="001D4DF5">
        <w:rPr>
          <w:sz w:val="24"/>
          <w:szCs w:val="24"/>
        </w:rPr>
        <w:t>buffer zone</w:t>
      </w:r>
      <w:r w:rsidR="004726EE">
        <w:rPr>
          <w:sz w:val="24"/>
          <w:szCs w:val="24"/>
        </w:rPr>
        <w:t xml:space="preserve"> distance, zones</w:t>
      </w:r>
      <w:r w:rsidR="00E84A73" w:rsidRPr="001D4DF5">
        <w:rPr>
          <w:sz w:val="24"/>
          <w:szCs w:val="24"/>
        </w:rPr>
        <w:t xml:space="preserve"> two street block</w:t>
      </w:r>
      <w:r w:rsidR="001D4DF5">
        <w:rPr>
          <w:sz w:val="24"/>
          <w:szCs w:val="24"/>
        </w:rPr>
        <w:t>s</w:t>
      </w:r>
      <w:r w:rsidR="00E84A73" w:rsidRPr="001D4DF5">
        <w:rPr>
          <w:sz w:val="24"/>
          <w:szCs w:val="24"/>
        </w:rPr>
        <w:t xml:space="preserve"> </w:t>
      </w:r>
      <w:r w:rsidR="006B4A0C">
        <w:rPr>
          <w:sz w:val="24"/>
          <w:szCs w:val="24"/>
        </w:rPr>
        <w:t>wide</w:t>
      </w:r>
      <w:r w:rsidR="00E84A73" w:rsidRPr="001D4DF5">
        <w:rPr>
          <w:sz w:val="24"/>
          <w:szCs w:val="24"/>
        </w:rPr>
        <w:t xml:space="preserve"> were set around the boundary of the </w:t>
      </w:r>
      <w:r w:rsidR="0032572F">
        <w:rPr>
          <w:sz w:val="24"/>
          <w:szCs w:val="24"/>
        </w:rPr>
        <w:t>study areas</w:t>
      </w:r>
      <w:r w:rsidR="001D4DF5">
        <w:rPr>
          <w:sz w:val="24"/>
          <w:szCs w:val="24"/>
        </w:rPr>
        <w:t xml:space="preserve"> </w:t>
      </w:r>
      <w:r w:rsidR="00E84A73" w:rsidRPr="001D4DF5">
        <w:rPr>
          <w:sz w:val="24"/>
          <w:szCs w:val="24"/>
        </w:rPr>
        <w:t>to capturing spatial processes that might affect the units internal to the study area.</w:t>
      </w:r>
      <w:r w:rsidR="00572DB8" w:rsidRPr="001D4DF5">
        <w:rPr>
          <w:sz w:val="24"/>
          <w:szCs w:val="24"/>
        </w:rPr>
        <w:t xml:space="preserve"> </w:t>
      </w:r>
      <w:r w:rsidR="00E84A73" w:rsidRPr="001D4DF5">
        <w:rPr>
          <w:sz w:val="24"/>
          <w:szCs w:val="24"/>
        </w:rPr>
        <w:t>The</w:t>
      </w:r>
      <w:r w:rsidR="002050F1" w:rsidRPr="001D4DF5">
        <w:rPr>
          <w:sz w:val="24"/>
          <w:szCs w:val="24"/>
        </w:rPr>
        <w:t xml:space="preserve"> retailing study areas and buffer zones are </w:t>
      </w:r>
      <w:r w:rsidR="00E84A73" w:rsidRPr="001D4DF5">
        <w:rPr>
          <w:sz w:val="24"/>
          <w:szCs w:val="24"/>
        </w:rPr>
        <w:t xml:space="preserve">shown in Figure </w:t>
      </w:r>
      <w:r w:rsidR="00F40858">
        <w:rPr>
          <w:sz w:val="24"/>
          <w:szCs w:val="24"/>
        </w:rPr>
        <w:t>8</w:t>
      </w:r>
      <w:r w:rsidR="002050F1" w:rsidRPr="001D4DF5">
        <w:rPr>
          <w:sz w:val="24"/>
          <w:szCs w:val="24"/>
        </w:rPr>
        <w:t>.</w:t>
      </w:r>
      <w:r w:rsidR="00572DB8" w:rsidRPr="001D4DF5">
        <w:rPr>
          <w:sz w:val="24"/>
          <w:szCs w:val="24"/>
        </w:rPr>
        <w:t xml:space="preserve"> </w:t>
      </w:r>
      <w:r w:rsidR="004726EE">
        <w:rPr>
          <w:sz w:val="24"/>
          <w:szCs w:val="24"/>
        </w:rPr>
        <w:t>The</w:t>
      </w:r>
      <w:r w:rsidR="0032572F">
        <w:rPr>
          <w:sz w:val="24"/>
          <w:szCs w:val="24"/>
        </w:rPr>
        <w:t xml:space="preserve"> actual </w:t>
      </w:r>
      <w:r w:rsidR="006B4A0C">
        <w:rPr>
          <w:sz w:val="24"/>
          <w:szCs w:val="24"/>
        </w:rPr>
        <w:t>wi</w:t>
      </w:r>
      <w:r w:rsidR="009803F9">
        <w:rPr>
          <w:sz w:val="24"/>
          <w:szCs w:val="24"/>
        </w:rPr>
        <w:t>dth</w:t>
      </w:r>
      <w:r w:rsidR="0032572F">
        <w:rPr>
          <w:sz w:val="24"/>
          <w:szCs w:val="24"/>
        </w:rPr>
        <w:t xml:space="preserve"> of buffer zones</w:t>
      </w:r>
      <w:r w:rsidR="004726EE">
        <w:rPr>
          <w:sz w:val="24"/>
          <w:szCs w:val="24"/>
        </w:rPr>
        <w:t xml:space="preserve"> varied across cities due to street patterns, and</w:t>
      </w:r>
      <w:r w:rsidR="006B4A0C">
        <w:rPr>
          <w:sz w:val="24"/>
          <w:szCs w:val="24"/>
        </w:rPr>
        <w:t xml:space="preserve"> allowances made for</w:t>
      </w:r>
      <w:r w:rsidR="004726EE">
        <w:rPr>
          <w:sz w:val="24"/>
          <w:szCs w:val="24"/>
        </w:rPr>
        <w:t xml:space="preserve"> the presence of open </w:t>
      </w:r>
      <w:r w:rsidR="006B4A0C">
        <w:rPr>
          <w:sz w:val="24"/>
          <w:szCs w:val="24"/>
        </w:rPr>
        <w:t>and</w:t>
      </w:r>
      <w:r w:rsidR="004726EE">
        <w:rPr>
          <w:sz w:val="24"/>
          <w:szCs w:val="24"/>
        </w:rPr>
        <w:t xml:space="preserve"> physical </w:t>
      </w:r>
      <w:r w:rsidR="006B4A0C">
        <w:rPr>
          <w:sz w:val="24"/>
          <w:szCs w:val="24"/>
        </w:rPr>
        <w:t>features</w:t>
      </w:r>
      <w:r w:rsidR="004726EE">
        <w:rPr>
          <w:sz w:val="24"/>
          <w:szCs w:val="24"/>
        </w:rPr>
        <w:t xml:space="preserve"> such as canals</w:t>
      </w:r>
      <w:r w:rsidR="006B4A0C">
        <w:rPr>
          <w:sz w:val="24"/>
          <w:szCs w:val="24"/>
        </w:rPr>
        <w:t>, rivers</w:t>
      </w:r>
      <w:r w:rsidR="004726EE">
        <w:rPr>
          <w:sz w:val="24"/>
          <w:szCs w:val="24"/>
        </w:rPr>
        <w:t xml:space="preserve"> and dual carriageways. </w:t>
      </w:r>
      <w:r w:rsidR="004726EE" w:rsidRPr="001008E1">
        <w:rPr>
          <w:sz w:val="24"/>
          <w:szCs w:val="24"/>
        </w:rPr>
        <w:t>In Edinburg</w:t>
      </w:r>
      <w:r w:rsidR="006B4A0C" w:rsidRPr="001008E1">
        <w:rPr>
          <w:sz w:val="24"/>
          <w:szCs w:val="24"/>
        </w:rPr>
        <w:t>h</w:t>
      </w:r>
      <w:r w:rsidR="004726EE" w:rsidRPr="001008E1">
        <w:rPr>
          <w:sz w:val="24"/>
          <w:szCs w:val="24"/>
        </w:rPr>
        <w:t xml:space="preserve"> the buffer zone width varied between 15.9m and 1</w:t>
      </w:r>
      <w:r w:rsidR="001008E1" w:rsidRPr="001008E1">
        <w:rPr>
          <w:sz w:val="24"/>
          <w:szCs w:val="24"/>
        </w:rPr>
        <w:t>78</w:t>
      </w:r>
      <w:r w:rsidR="004726EE" w:rsidRPr="001008E1">
        <w:rPr>
          <w:sz w:val="24"/>
          <w:szCs w:val="24"/>
        </w:rPr>
        <w:t>.</w:t>
      </w:r>
      <w:r w:rsidR="001008E1" w:rsidRPr="001008E1">
        <w:rPr>
          <w:sz w:val="24"/>
          <w:szCs w:val="24"/>
        </w:rPr>
        <w:t>9</w:t>
      </w:r>
      <w:r w:rsidR="004726EE" w:rsidRPr="001008E1">
        <w:rPr>
          <w:sz w:val="24"/>
          <w:szCs w:val="24"/>
        </w:rPr>
        <w:t>m; Glasgow between 65.7m and 194.6m; Liverpool between 50.3m and 2</w:t>
      </w:r>
      <w:r w:rsidR="00423796">
        <w:rPr>
          <w:sz w:val="24"/>
          <w:szCs w:val="24"/>
        </w:rPr>
        <w:t>05</w:t>
      </w:r>
      <w:r w:rsidR="004726EE" w:rsidRPr="001008E1">
        <w:rPr>
          <w:sz w:val="24"/>
          <w:szCs w:val="24"/>
        </w:rPr>
        <w:t>.</w:t>
      </w:r>
      <w:r w:rsidR="00423796">
        <w:rPr>
          <w:sz w:val="24"/>
          <w:szCs w:val="24"/>
        </w:rPr>
        <w:t>5</w:t>
      </w:r>
      <w:r w:rsidR="004726EE" w:rsidRPr="001008E1">
        <w:rPr>
          <w:sz w:val="24"/>
          <w:szCs w:val="24"/>
        </w:rPr>
        <w:t xml:space="preserve">m; and Nottingham typically between </w:t>
      </w:r>
      <w:r w:rsidR="001008E1" w:rsidRPr="001008E1">
        <w:rPr>
          <w:sz w:val="24"/>
          <w:szCs w:val="24"/>
        </w:rPr>
        <w:t>64.2</w:t>
      </w:r>
      <w:r w:rsidR="004726EE" w:rsidRPr="001008E1">
        <w:rPr>
          <w:sz w:val="24"/>
          <w:szCs w:val="24"/>
        </w:rPr>
        <w:t>m and 1</w:t>
      </w:r>
      <w:r w:rsidR="001008E1" w:rsidRPr="001008E1">
        <w:rPr>
          <w:sz w:val="24"/>
          <w:szCs w:val="24"/>
        </w:rPr>
        <w:t>45m</w:t>
      </w:r>
      <w:r w:rsidR="004726EE" w:rsidRPr="001008E1">
        <w:rPr>
          <w:sz w:val="24"/>
          <w:szCs w:val="24"/>
        </w:rPr>
        <w:t xml:space="preserve"> although at one point is </w:t>
      </w:r>
      <w:r w:rsidR="001008E1" w:rsidRPr="001008E1">
        <w:rPr>
          <w:sz w:val="24"/>
          <w:szCs w:val="24"/>
        </w:rPr>
        <w:t>272.7</w:t>
      </w:r>
      <w:r w:rsidR="004726EE" w:rsidRPr="001008E1">
        <w:rPr>
          <w:sz w:val="24"/>
          <w:szCs w:val="24"/>
        </w:rPr>
        <w:t xml:space="preserve">m wide. </w:t>
      </w:r>
      <w:r w:rsidR="001243E3" w:rsidRPr="001008E1">
        <w:rPr>
          <w:sz w:val="24"/>
          <w:szCs w:val="24"/>
        </w:rPr>
        <w:t xml:space="preserve">The buffer zone for Hull </w:t>
      </w:r>
      <w:r w:rsidR="0032572F" w:rsidRPr="001008E1">
        <w:rPr>
          <w:sz w:val="24"/>
          <w:szCs w:val="24"/>
        </w:rPr>
        <w:t>was set</w:t>
      </w:r>
      <w:r w:rsidR="001243E3" w:rsidRPr="001008E1">
        <w:rPr>
          <w:sz w:val="24"/>
          <w:szCs w:val="24"/>
        </w:rPr>
        <w:t xml:space="preserve"> wider than the buffers used in the other four cities </w:t>
      </w:r>
      <w:r w:rsidR="006A0FF3" w:rsidRPr="001008E1">
        <w:rPr>
          <w:sz w:val="24"/>
          <w:szCs w:val="24"/>
        </w:rPr>
        <w:t xml:space="preserve">to capture </w:t>
      </w:r>
      <w:r w:rsidR="004726EE" w:rsidRPr="001008E1">
        <w:rPr>
          <w:sz w:val="24"/>
          <w:szCs w:val="24"/>
        </w:rPr>
        <w:t xml:space="preserve">possible wider </w:t>
      </w:r>
      <w:r w:rsidR="006A0FF3" w:rsidRPr="001008E1">
        <w:rPr>
          <w:sz w:val="24"/>
          <w:szCs w:val="24"/>
        </w:rPr>
        <w:t xml:space="preserve">interactions </w:t>
      </w:r>
      <w:r w:rsidR="004726EE" w:rsidRPr="001008E1">
        <w:rPr>
          <w:sz w:val="24"/>
          <w:szCs w:val="24"/>
        </w:rPr>
        <w:t xml:space="preserve">with the main retailing core </w:t>
      </w:r>
      <w:r w:rsidR="0012026F" w:rsidRPr="001008E1">
        <w:rPr>
          <w:sz w:val="24"/>
          <w:szCs w:val="24"/>
        </w:rPr>
        <w:t xml:space="preserve">as there was no </w:t>
      </w:r>
      <w:r w:rsidR="00D157FC" w:rsidRPr="001008E1">
        <w:rPr>
          <w:sz w:val="24"/>
          <w:szCs w:val="24"/>
        </w:rPr>
        <w:t>primary</w:t>
      </w:r>
      <w:r w:rsidR="0012026F" w:rsidRPr="001008E1">
        <w:rPr>
          <w:sz w:val="24"/>
          <w:szCs w:val="24"/>
        </w:rPr>
        <w:t xml:space="preserve"> shopping area </w:t>
      </w:r>
      <w:r w:rsidR="00D157FC" w:rsidRPr="001008E1">
        <w:rPr>
          <w:sz w:val="24"/>
          <w:szCs w:val="24"/>
        </w:rPr>
        <w:t xml:space="preserve">policy definition </w:t>
      </w:r>
      <w:r w:rsidR="001D4DF5" w:rsidRPr="001008E1">
        <w:rPr>
          <w:sz w:val="24"/>
          <w:szCs w:val="24"/>
        </w:rPr>
        <w:t xml:space="preserve">until </w:t>
      </w:r>
      <w:r w:rsidR="00D157FC" w:rsidRPr="001008E1">
        <w:rPr>
          <w:sz w:val="24"/>
          <w:szCs w:val="24"/>
        </w:rPr>
        <w:t xml:space="preserve">the </w:t>
      </w:r>
      <w:r w:rsidR="00A71CA2" w:rsidRPr="001008E1">
        <w:rPr>
          <w:sz w:val="24"/>
          <w:szCs w:val="24"/>
        </w:rPr>
        <w:t xml:space="preserve">2016 </w:t>
      </w:r>
      <w:r w:rsidR="0012026F" w:rsidRPr="001008E1">
        <w:rPr>
          <w:sz w:val="24"/>
          <w:szCs w:val="24"/>
        </w:rPr>
        <w:t xml:space="preserve">city plan </w:t>
      </w:r>
      <w:r w:rsidR="00A71CA2" w:rsidRPr="001008E1">
        <w:rPr>
          <w:sz w:val="24"/>
          <w:szCs w:val="24"/>
        </w:rPr>
        <w:t xml:space="preserve">which was not </w:t>
      </w:r>
      <w:r w:rsidR="00D157FC" w:rsidRPr="001008E1">
        <w:rPr>
          <w:sz w:val="24"/>
          <w:szCs w:val="24"/>
        </w:rPr>
        <w:t xml:space="preserve">adopted </w:t>
      </w:r>
      <w:r w:rsidR="00A71CA2" w:rsidRPr="001008E1">
        <w:rPr>
          <w:sz w:val="24"/>
          <w:szCs w:val="24"/>
        </w:rPr>
        <w:t>until</w:t>
      </w:r>
      <w:r w:rsidR="0012026F" w:rsidRPr="001008E1">
        <w:rPr>
          <w:sz w:val="24"/>
          <w:szCs w:val="24"/>
        </w:rPr>
        <w:t xml:space="preserve"> 2017.</w:t>
      </w:r>
    </w:p>
    <w:p w14:paraId="00B4D66B" w14:textId="1DB67C10" w:rsidR="002C4DD7" w:rsidRPr="00F345D5" w:rsidRDefault="009C442C" w:rsidP="00474093">
      <w:pPr>
        <w:pStyle w:val="Heading2"/>
        <w:rPr>
          <w:rFonts w:asciiTheme="minorHAnsi" w:hAnsiTheme="minorHAnsi"/>
          <w:b/>
          <w:bCs/>
        </w:rPr>
      </w:pPr>
      <w:bookmarkStart w:id="6" w:name="OLE_LINK3"/>
      <w:r>
        <w:rPr>
          <w:rFonts w:asciiTheme="minorHAnsi" w:hAnsiTheme="minorHAnsi"/>
          <w:b/>
          <w:bCs/>
        </w:rPr>
        <w:lastRenderedPageBreak/>
        <w:t>Context: t</w:t>
      </w:r>
      <w:r w:rsidR="005748A9">
        <w:rPr>
          <w:rFonts w:asciiTheme="minorHAnsi" w:hAnsiTheme="minorHAnsi"/>
          <w:b/>
          <w:bCs/>
        </w:rPr>
        <w:t>he retailing</w:t>
      </w:r>
      <w:r>
        <w:rPr>
          <w:rFonts w:asciiTheme="minorHAnsi" w:hAnsiTheme="minorHAnsi"/>
          <w:b/>
          <w:bCs/>
        </w:rPr>
        <w:t xml:space="preserve"> </w:t>
      </w:r>
      <w:r w:rsidR="00AB50F9" w:rsidRPr="00F345D5">
        <w:rPr>
          <w:rFonts w:asciiTheme="minorHAnsi" w:hAnsiTheme="minorHAnsi"/>
          <w:b/>
          <w:bCs/>
        </w:rPr>
        <w:t xml:space="preserve">and </w:t>
      </w:r>
      <w:r w:rsidR="008B0101">
        <w:rPr>
          <w:rFonts w:asciiTheme="minorHAnsi" w:hAnsiTheme="minorHAnsi"/>
          <w:b/>
          <w:bCs/>
        </w:rPr>
        <w:t>e</w:t>
      </w:r>
      <w:r w:rsidR="00AB50F9" w:rsidRPr="00F345D5">
        <w:rPr>
          <w:rFonts w:asciiTheme="minorHAnsi" w:hAnsiTheme="minorHAnsi"/>
          <w:b/>
          <w:bCs/>
        </w:rPr>
        <w:t xml:space="preserve">conomic </w:t>
      </w:r>
      <w:r w:rsidR="008B0101">
        <w:rPr>
          <w:rFonts w:asciiTheme="minorHAnsi" w:hAnsiTheme="minorHAnsi"/>
          <w:b/>
          <w:bCs/>
        </w:rPr>
        <w:t>l</w:t>
      </w:r>
      <w:r w:rsidR="002C4DD7" w:rsidRPr="00F345D5">
        <w:rPr>
          <w:rFonts w:asciiTheme="minorHAnsi" w:hAnsiTheme="minorHAnsi"/>
          <w:b/>
          <w:bCs/>
        </w:rPr>
        <w:t xml:space="preserve">andscape </w:t>
      </w:r>
      <w:bookmarkEnd w:id="6"/>
      <w:r w:rsidR="002C4DD7" w:rsidRPr="00F345D5">
        <w:rPr>
          <w:rFonts w:asciiTheme="minorHAnsi" w:hAnsiTheme="minorHAnsi"/>
          <w:b/>
          <w:bCs/>
        </w:rPr>
        <w:t xml:space="preserve">of </w:t>
      </w:r>
      <w:r w:rsidR="005748A9">
        <w:rPr>
          <w:rFonts w:asciiTheme="minorHAnsi" w:hAnsiTheme="minorHAnsi"/>
          <w:b/>
          <w:bCs/>
        </w:rPr>
        <w:t xml:space="preserve">the </w:t>
      </w:r>
      <w:r w:rsidR="008B0101">
        <w:rPr>
          <w:rFonts w:asciiTheme="minorHAnsi" w:hAnsiTheme="minorHAnsi"/>
          <w:b/>
          <w:bCs/>
        </w:rPr>
        <w:t>c</w:t>
      </w:r>
      <w:r w:rsidR="002C4DD7" w:rsidRPr="00F345D5">
        <w:rPr>
          <w:rFonts w:asciiTheme="minorHAnsi" w:hAnsiTheme="minorHAnsi"/>
          <w:b/>
          <w:bCs/>
        </w:rPr>
        <w:t xml:space="preserve">ase </w:t>
      </w:r>
      <w:r w:rsidR="008B0101">
        <w:rPr>
          <w:rFonts w:asciiTheme="minorHAnsi" w:hAnsiTheme="minorHAnsi"/>
          <w:b/>
          <w:bCs/>
        </w:rPr>
        <w:t>s</w:t>
      </w:r>
      <w:r w:rsidR="002C4DD7" w:rsidRPr="00F345D5">
        <w:rPr>
          <w:rFonts w:asciiTheme="minorHAnsi" w:hAnsiTheme="minorHAnsi"/>
          <w:b/>
          <w:bCs/>
        </w:rPr>
        <w:t xml:space="preserve">tudy </w:t>
      </w:r>
      <w:r w:rsidR="008B0101">
        <w:rPr>
          <w:rFonts w:asciiTheme="minorHAnsi" w:hAnsiTheme="minorHAnsi"/>
          <w:b/>
          <w:bCs/>
        </w:rPr>
        <w:t>c</w:t>
      </w:r>
      <w:r w:rsidR="002C4DD7" w:rsidRPr="00F345D5">
        <w:rPr>
          <w:rFonts w:asciiTheme="minorHAnsi" w:hAnsiTheme="minorHAnsi"/>
          <w:b/>
          <w:bCs/>
        </w:rPr>
        <w:t>entres</w:t>
      </w:r>
    </w:p>
    <w:p w14:paraId="349271E2" w14:textId="77777777" w:rsidR="002C4DD7" w:rsidRPr="00287E10" w:rsidRDefault="002C4DD7" w:rsidP="002C4DD7">
      <w:pPr>
        <w:rPr>
          <w:rFonts w:asciiTheme="minorHAnsi" w:eastAsiaTheme="minorHAnsi" w:hAnsiTheme="minorHAnsi" w:cstheme="minorHAnsi"/>
          <w:b/>
          <w:sz w:val="22"/>
          <w:szCs w:val="22"/>
        </w:rPr>
      </w:pPr>
    </w:p>
    <w:p w14:paraId="7127A89E" w14:textId="7CC22715" w:rsidR="002C4DD7" w:rsidRPr="00A82294" w:rsidRDefault="002C4DD7" w:rsidP="00ED3685">
      <w:pPr>
        <w:pStyle w:val="Heading2"/>
        <w:spacing w:line="360" w:lineRule="auto"/>
        <w:rPr>
          <w:rFonts w:asciiTheme="minorHAnsi" w:hAnsiTheme="minorHAnsi" w:cstheme="minorHAnsi"/>
          <w:b/>
          <w:bCs/>
          <w:i/>
          <w:iCs/>
          <w:sz w:val="24"/>
          <w:szCs w:val="24"/>
        </w:rPr>
      </w:pPr>
      <w:r w:rsidRPr="00A82294">
        <w:rPr>
          <w:rFonts w:asciiTheme="minorHAnsi" w:hAnsiTheme="minorHAnsi" w:cstheme="minorHAnsi"/>
          <w:b/>
          <w:bCs/>
          <w:i/>
          <w:iCs/>
          <w:sz w:val="24"/>
          <w:szCs w:val="24"/>
        </w:rPr>
        <w:t>Edinburgh</w:t>
      </w:r>
    </w:p>
    <w:p w14:paraId="4D9FDFDF" w14:textId="07E5D8E8" w:rsidR="00A71CA2" w:rsidRDefault="001E696F" w:rsidP="00A71CA2">
      <w:pPr>
        <w:spacing w:line="360" w:lineRule="auto"/>
        <w:jc w:val="both"/>
        <w:rPr>
          <w:rFonts w:asciiTheme="minorHAnsi" w:eastAsiaTheme="minorHAnsi" w:hAnsiTheme="minorHAnsi"/>
          <w:lang w:eastAsia="en-US"/>
        </w:rPr>
      </w:pPr>
      <w:r w:rsidRPr="002C1A24">
        <w:rPr>
          <w:rFonts w:asciiTheme="minorHAnsi" w:eastAsiaTheme="minorHAnsi" w:hAnsiTheme="minorHAnsi"/>
          <w:lang w:eastAsia="en-US"/>
        </w:rPr>
        <w:t>Edinbu</w:t>
      </w:r>
      <w:r w:rsidR="00D10237" w:rsidRPr="002C1A24">
        <w:rPr>
          <w:rFonts w:asciiTheme="minorHAnsi" w:eastAsiaTheme="minorHAnsi" w:hAnsiTheme="minorHAnsi"/>
          <w:lang w:eastAsia="en-US"/>
        </w:rPr>
        <w:t>r</w:t>
      </w:r>
      <w:r w:rsidRPr="002C1A24">
        <w:rPr>
          <w:rFonts w:asciiTheme="minorHAnsi" w:eastAsiaTheme="minorHAnsi" w:hAnsiTheme="minorHAnsi"/>
          <w:lang w:eastAsia="en-US"/>
        </w:rPr>
        <w:t>gh is the second largest city in Scotland with the designated retail</w:t>
      </w:r>
      <w:r w:rsidR="002C1A24">
        <w:rPr>
          <w:rFonts w:asciiTheme="minorHAnsi" w:eastAsiaTheme="minorHAnsi" w:hAnsiTheme="minorHAnsi"/>
          <w:lang w:eastAsia="en-US"/>
        </w:rPr>
        <w:t>ing</w:t>
      </w:r>
      <w:r w:rsidRPr="002C1A24">
        <w:rPr>
          <w:rFonts w:asciiTheme="minorHAnsi" w:eastAsiaTheme="minorHAnsi" w:hAnsiTheme="minorHAnsi"/>
          <w:lang w:eastAsia="en-US"/>
        </w:rPr>
        <w:t xml:space="preserve"> area under study in Edinburgh </w:t>
      </w:r>
      <w:r w:rsidR="00DA5F93" w:rsidRPr="002C1A24">
        <w:rPr>
          <w:rFonts w:asciiTheme="minorHAnsi" w:eastAsiaTheme="minorHAnsi" w:hAnsiTheme="minorHAnsi"/>
          <w:lang w:eastAsia="en-US"/>
        </w:rPr>
        <w:t>covering a</w:t>
      </w:r>
      <w:r w:rsidR="00AB50F9" w:rsidRPr="002C1A24">
        <w:rPr>
          <w:rFonts w:asciiTheme="minorHAnsi" w:eastAsiaTheme="minorHAnsi" w:hAnsiTheme="minorHAnsi"/>
          <w:lang w:eastAsia="en-US"/>
        </w:rPr>
        <w:t xml:space="preserve"> </w:t>
      </w:r>
      <w:r w:rsidR="00B20F92" w:rsidRPr="002C1A24">
        <w:rPr>
          <w:rFonts w:asciiTheme="minorHAnsi" w:eastAsiaTheme="minorHAnsi" w:hAnsiTheme="minorHAnsi"/>
          <w:lang w:eastAsia="en-US"/>
        </w:rPr>
        <w:t>0.304</w:t>
      </w:r>
      <w:r w:rsidR="00A31097">
        <w:rPr>
          <w:rFonts w:asciiTheme="minorHAnsi" w:eastAsiaTheme="minorHAnsi" w:hAnsiTheme="minorHAnsi"/>
          <w:lang w:eastAsia="en-US"/>
        </w:rPr>
        <w:t xml:space="preserve"> k</w:t>
      </w:r>
      <w:r w:rsidR="00B20F92" w:rsidRPr="002C1A24">
        <w:rPr>
          <w:rFonts w:asciiTheme="minorHAnsi" w:eastAsiaTheme="minorHAnsi" w:hAnsiTheme="minorHAnsi"/>
          <w:lang w:eastAsia="en-US"/>
        </w:rPr>
        <w:t>m</w:t>
      </w:r>
      <w:r w:rsidR="00B20F92" w:rsidRPr="002C1A24">
        <w:rPr>
          <w:rFonts w:asciiTheme="minorHAnsi" w:eastAsiaTheme="minorHAnsi" w:hAnsiTheme="minorHAnsi"/>
          <w:vertAlign w:val="superscript"/>
          <w:lang w:eastAsia="en-US"/>
        </w:rPr>
        <w:t>2</w:t>
      </w:r>
      <w:r w:rsidR="00B20F92" w:rsidRPr="002C1A24">
        <w:rPr>
          <w:rFonts w:asciiTheme="minorHAnsi" w:eastAsiaTheme="minorHAnsi" w:hAnsiTheme="minorHAnsi"/>
          <w:lang w:eastAsia="en-US"/>
        </w:rPr>
        <w:t xml:space="preserve"> (0.114 square miles)</w:t>
      </w:r>
      <w:r w:rsidR="00DA5F93" w:rsidRPr="002C1A24">
        <w:rPr>
          <w:rFonts w:asciiTheme="minorHAnsi" w:eastAsiaTheme="minorHAnsi" w:hAnsiTheme="minorHAnsi"/>
          <w:lang w:eastAsia="en-US"/>
        </w:rPr>
        <w:t xml:space="preserve"> area</w:t>
      </w:r>
      <w:r w:rsidRPr="002C1A24">
        <w:rPr>
          <w:rFonts w:asciiTheme="minorHAnsi" w:eastAsiaTheme="minorHAnsi" w:hAnsiTheme="minorHAnsi"/>
          <w:lang w:eastAsia="en-US"/>
        </w:rPr>
        <w:t>.</w:t>
      </w:r>
      <w:r w:rsidR="00572DB8" w:rsidRPr="002C1A24">
        <w:rPr>
          <w:rFonts w:asciiTheme="minorHAnsi" w:eastAsiaTheme="minorHAnsi" w:hAnsiTheme="minorHAnsi"/>
          <w:lang w:eastAsia="en-US"/>
        </w:rPr>
        <w:t xml:space="preserve"> </w:t>
      </w:r>
      <w:r w:rsidR="00D10237" w:rsidRPr="002C1A24">
        <w:rPr>
          <w:rFonts w:asciiTheme="minorHAnsi" w:eastAsiaTheme="minorHAnsi" w:hAnsiTheme="minorHAnsi"/>
          <w:lang w:eastAsia="en-US"/>
        </w:rPr>
        <w:t>It contains the smallest retail core</w:t>
      </w:r>
      <w:r w:rsidR="00272292" w:rsidRPr="002C1A24">
        <w:rPr>
          <w:rFonts w:asciiTheme="minorHAnsi" w:eastAsiaTheme="minorHAnsi" w:hAnsiTheme="minorHAnsi"/>
          <w:lang w:eastAsia="en-US"/>
        </w:rPr>
        <w:t xml:space="preserve"> of</w:t>
      </w:r>
      <w:r w:rsidR="00D10237" w:rsidRPr="002C1A24">
        <w:rPr>
          <w:rFonts w:asciiTheme="minorHAnsi" w:eastAsiaTheme="minorHAnsi" w:hAnsiTheme="minorHAnsi"/>
          <w:lang w:eastAsia="en-US"/>
        </w:rPr>
        <w:t xml:space="preserve"> the five retail systems under study </w:t>
      </w:r>
      <w:r w:rsidR="002C1A24">
        <w:rPr>
          <w:rFonts w:asciiTheme="minorHAnsi" w:eastAsiaTheme="minorHAnsi" w:hAnsiTheme="minorHAnsi"/>
          <w:lang w:eastAsia="en-US"/>
        </w:rPr>
        <w:t>with</w:t>
      </w:r>
      <w:r w:rsidR="00D10237" w:rsidRPr="002C1A24">
        <w:rPr>
          <w:rFonts w:asciiTheme="minorHAnsi" w:eastAsiaTheme="minorHAnsi" w:hAnsiTheme="minorHAnsi"/>
          <w:lang w:eastAsia="en-US"/>
        </w:rPr>
        <w:t xml:space="preserve"> an estimated 158,000 square metres of retail accommodation</w:t>
      </w:r>
      <w:r w:rsidR="00BC6A02" w:rsidRPr="002C1A24">
        <w:rPr>
          <w:rFonts w:asciiTheme="minorHAnsi" w:eastAsiaTheme="minorHAnsi" w:hAnsiTheme="minorHAnsi"/>
          <w:lang w:eastAsia="en-US"/>
        </w:rPr>
        <w:t>,</w:t>
      </w:r>
      <w:r w:rsidR="00D10237" w:rsidRPr="002C1A24">
        <w:rPr>
          <w:rFonts w:asciiTheme="minorHAnsi" w:eastAsiaTheme="minorHAnsi" w:hAnsiTheme="minorHAnsi"/>
          <w:lang w:eastAsia="en-US"/>
        </w:rPr>
        <w:t xml:space="preserve"> as at 2017/18.</w:t>
      </w:r>
      <w:r w:rsidR="00572DB8" w:rsidRPr="002C1A24">
        <w:rPr>
          <w:rFonts w:asciiTheme="minorHAnsi" w:eastAsiaTheme="minorHAnsi" w:hAnsiTheme="minorHAnsi"/>
          <w:lang w:eastAsia="en-US"/>
        </w:rPr>
        <w:t xml:space="preserve"> </w:t>
      </w:r>
      <w:r w:rsidR="000E6F30" w:rsidRPr="002C1A24">
        <w:rPr>
          <w:rFonts w:asciiTheme="minorHAnsi" w:eastAsiaTheme="minorHAnsi" w:hAnsiTheme="minorHAnsi"/>
          <w:lang w:eastAsia="en-US"/>
        </w:rPr>
        <w:t xml:space="preserve">The </w:t>
      </w:r>
      <w:r w:rsidR="00915F44">
        <w:rPr>
          <w:rFonts w:asciiTheme="minorHAnsi" w:eastAsiaTheme="minorHAnsi" w:hAnsiTheme="minorHAnsi"/>
          <w:lang w:eastAsia="en-US"/>
        </w:rPr>
        <w:t>greatest</w:t>
      </w:r>
      <w:r w:rsidR="000E6F30" w:rsidRPr="002C1A24">
        <w:rPr>
          <w:rFonts w:asciiTheme="minorHAnsi" w:eastAsiaTheme="minorHAnsi" w:hAnsiTheme="minorHAnsi"/>
          <w:lang w:eastAsia="en-US"/>
        </w:rPr>
        <w:t xml:space="preserve"> provision of space is as retail ribbons on Princes Street</w:t>
      </w:r>
      <w:r w:rsidR="00BC6A02" w:rsidRPr="002C1A24">
        <w:rPr>
          <w:rFonts w:asciiTheme="minorHAnsi" w:eastAsiaTheme="minorHAnsi" w:hAnsiTheme="minorHAnsi"/>
          <w:lang w:eastAsia="en-US"/>
        </w:rPr>
        <w:t>,</w:t>
      </w:r>
      <w:r w:rsidR="00272292" w:rsidRPr="002C1A24">
        <w:rPr>
          <w:rFonts w:asciiTheme="minorHAnsi" w:eastAsiaTheme="minorHAnsi" w:hAnsiTheme="minorHAnsi"/>
          <w:lang w:eastAsia="en-US"/>
        </w:rPr>
        <w:t xml:space="preserve"> which provides the mainstream </w:t>
      </w:r>
      <w:r w:rsidR="00097A86" w:rsidRPr="002C1A24">
        <w:rPr>
          <w:rFonts w:asciiTheme="minorHAnsi" w:eastAsiaTheme="minorHAnsi" w:hAnsiTheme="minorHAnsi"/>
          <w:lang w:eastAsia="en-US"/>
        </w:rPr>
        <w:t xml:space="preserve">retail </w:t>
      </w:r>
      <w:r w:rsidR="00272292" w:rsidRPr="002C1A24">
        <w:rPr>
          <w:rFonts w:asciiTheme="minorHAnsi" w:eastAsiaTheme="minorHAnsi" w:hAnsiTheme="minorHAnsi"/>
          <w:lang w:eastAsia="en-US"/>
        </w:rPr>
        <w:t>provision</w:t>
      </w:r>
      <w:r w:rsidR="00BC6A02" w:rsidRPr="002C1A24">
        <w:rPr>
          <w:rFonts w:asciiTheme="minorHAnsi" w:eastAsiaTheme="minorHAnsi" w:hAnsiTheme="minorHAnsi"/>
          <w:lang w:eastAsia="en-US"/>
        </w:rPr>
        <w:t>,</w:t>
      </w:r>
      <w:r w:rsidR="00272292" w:rsidRPr="002C1A24">
        <w:rPr>
          <w:rFonts w:asciiTheme="minorHAnsi" w:eastAsiaTheme="minorHAnsi" w:hAnsiTheme="minorHAnsi"/>
          <w:lang w:eastAsia="en-US"/>
        </w:rPr>
        <w:t xml:space="preserve"> and </w:t>
      </w:r>
      <w:r w:rsidR="000E6F30" w:rsidRPr="002C1A24">
        <w:rPr>
          <w:rFonts w:asciiTheme="minorHAnsi" w:eastAsiaTheme="minorHAnsi" w:hAnsiTheme="minorHAnsi"/>
          <w:lang w:eastAsia="en-US"/>
        </w:rPr>
        <w:t>George Street</w:t>
      </w:r>
      <w:r w:rsidR="00DA5F93" w:rsidRPr="002C1A24">
        <w:rPr>
          <w:rFonts w:asciiTheme="minorHAnsi" w:eastAsiaTheme="minorHAnsi" w:hAnsiTheme="minorHAnsi"/>
          <w:lang w:eastAsia="en-US"/>
        </w:rPr>
        <w:t>, the</w:t>
      </w:r>
      <w:r w:rsidR="00272292" w:rsidRPr="002C1A24">
        <w:rPr>
          <w:rFonts w:asciiTheme="minorHAnsi" w:eastAsiaTheme="minorHAnsi" w:hAnsiTheme="minorHAnsi"/>
          <w:lang w:eastAsia="en-US"/>
        </w:rPr>
        <w:t xml:space="preserve"> home to </w:t>
      </w:r>
      <w:r w:rsidR="00221750">
        <w:rPr>
          <w:rFonts w:asciiTheme="minorHAnsi" w:eastAsiaTheme="minorHAnsi" w:hAnsiTheme="minorHAnsi"/>
          <w:lang w:eastAsia="en-US"/>
        </w:rPr>
        <w:t xml:space="preserve">more </w:t>
      </w:r>
      <w:r w:rsidR="00272292" w:rsidRPr="002C1A24">
        <w:rPr>
          <w:rFonts w:asciiTheme="minorHAnsi" w:eastAsiaTheme="minorHAnsi" w:hAnsiTheme="minorHAnsi"/>
          <w:lang w:eastAsia="en-US"/>
        </w:rPr>
        <w:t>upmarket retail</w:t>
      </w:r>
      <w:r w:rsidR="00097A86" w:rsidRPr="002C1A24">
        <w:rPr>
          <w:rFonts w:asciiTheme="minorHAnsi" w:eastAsiaTheme="minorHAnsi" w:hAnsiTheme="minorHAnsi"/>
          <w:lang w:eastAsia="en-US"/>
        </w:rPr>
        <w:t xml:space="preserve">ers and bars and </w:t>
      </w:r>
      <w:r w:rsidR="00500F82" w:rsidRPr="002C1A24">
        <w:rPr>
          <w:rFonts w:asciiTheme="minorHAnsi" w:eastAsiaTheme="minorHAnsi" w:hAnsiTheme="minorHAnsi"/>
          <w:lang w:eastAsia="en-US"/>
        </w:rPr>
        <w:t>restaurants</w:t>
      </w:r>
      <w:r w:rsidR="00272292" w:rsidRPr="002C1A24">
        <w:rPr>
          <w:rFonts w:asciiTheme="minorHAnsi" w:eastAsiaTheme="minorHAnsi" w:hAnsiTheme="minorHAnsi"/>
          <w:lang w:eastAsia="en-US"/>
        </w:rPr>
        <w:t>.</w:t>
      </w:r>
      <w:r w:rsidR="00572DB8" w:rsidRPr="002C1A24">
        <w:rPr>
          <w:rFonts w:asciiTheme="minorHAnsi" w:eastAsiaTheme="minorHAnsi" w:hAnsiTheme="minorHAnsi"/>
          <w:lang w:eastAsia="en-US"/>
        </w:rPr>
        <w:t xml:space="preserve"> </w:t>
      </w:r>
      <w:r w:rsidR="00272292" w:rsidRPr="002C1A24">
        <w:rPr>
          <w:rFonts w:asciiTheme="minorHAnsi" w:eastAsiaTheme="minorHAnsi" w:hAnsiTheme="minorHAnsi"/>
          <w:lang w:eastAsia="en-US"/>
        </w:rPr>
        <w:t xml:space="preserve">Retail </w:t>
      </w:r>
      <w:r w:rsidR="00F469BB" w:rsidRPr="002C1A24">
        <w:rPr>
          <w:rFonts w:asciiTheme="minorHAnsi" w:eastAsiaTheme="minorHAnsi" w:hAnsiTheme="minorHAnsi"/>
          <w:lang w:eastAsia="en-US"/>
        </w:rPr>
        <w:t xml:space="preserve">and </w:t>
      </w:r>
      <w:r w:rsidR="00F56624">
        <w:rPr>
          <w:rFonts w:asciiTheme="minorHAnsi" w:eastAsiaTheme="minorHAnsi" w:hAnsiTheme="minorHAnsi"/>
          <w:lang w:eastAsia="en-US"/>
        </w:rPr>
        <w:t>f</w:t>
      </w:r>
      <w:r w:rsidR="00A31097">
        <w:rPr>
          <w:rFonts w:asciiTheme="minorHAnsi" w:eastAsiaTheme="minorHAnsi" w:hAnsiTheme="minorHAnsi"/>
          <w:lang w:eastAsia="en-US"/>
        </w:rPr>
        <w:t xml:space="preserve">ood and </w:t>
      </w:r>
      <w:r w:rsidR="00F56624">
        <w:rPr>
          <w:rFonts w:asciiTheme="minorHAnsi" w:eastAsiaTheme="minorHAnsi" w:hAnsiTheme="minorHAnsi"/>
          <w:lang w:eastAsia="en-US"/>
        </w:rPr>
        <w:t>d</w:t>
      </w:r>
      <w:r w:rsidR="00221750">
        <w:rPr>
          <w:rFonts w:asciiTheme="minorHAnsi" w:eastAsiaTheme="minorHAnsi" w:hAnsiTheme="minorHAnsi"/>
          <w:lang w:eastAsia="en-US"/>
        </w:rPr>
        <w:t>rink</w:t>
      </w:r>
      <w:r w:rsidR="00A31097">
        <w:rPr>
          <w:rFonts w:asciiTheme="minorHAnsi" w:eastAsiaTheme="minorHAnsi" w:hAnsiTheme="minorHAnsi"/>
          <w:lang w:eastAsia="en-US"/>
        </w:rPr>
        <w:t xml:space="preserve"> (F</w:t>
      </w:r>
      <w:r w:rsidR="00F469BB" w:rsidRPr="002C1A24">
        <w:rPr>
          <w:rFonts w:asciiTheme="minorHAnsi" w:eastAsiaTheme="minorHAnsi" w:hAnsiTheme="minorHAnsi"/>
          <w:lang w:eastAsia="en-US"/>
        </w:rPr>
        <w:t>&amp;</w:t>
      </w:r>
      <w:r w:rsidR="00221750">
        <w:rPr>
          <w:rFonts w:asciiTheme="minorHAnsi" w:eastAsiaTheme="minorHAnsi" w:hAnsiTheme="minorHAnsi"/>
          <w:lang w:eastAsia="en-US"/>
        </w:rPr>
        <w:t>D</w:t>
      </w:r>
      <w:r w:rsidR="00A31097">
        <w:rPr>
          <w:rFonts w:asciiTheme="minorHAnsi" w:eastAsiaTheme="minorHAnsi" w:hAnsiTheme="minorHAnsi"/>
          <w:lang w:eastAsia="en-US"/>
        </w:rPr>
        <w:t>)</w:t>
      </w:r>
      <w:r w:rsidR="00F469BB" w:rsidRPr="002C1A24">
        <w:rPr>
          <w:rFonts w:asciiTheme="minorHAnsi" w:eastAsiaTheme="minorHAnsi" w:hAnsiTheme="minorHAnsi"/>
          <w:lang w:eastAsia="en-US"/>
        </w:rPr>
        <w:t xml:space="preserve"> </w:t>
      </w:r>
      <w:r w:rsidR="00272292" w:rsidRPr="002C1A24">
        <w:rPr>
          <w:rFonts w:asciiTheme="minorHAnsi" w:eastAsiaTheme="minorHAnsi" w:hAnsiTheme="minorHAnsi"/>
          <w:lang w:eastAsia="en-US"/>
        </w:rPr>
        <w:t>units are also located on</w:t>
      </w:r>
      <w:r w:rsidR="000E6F30" w:rsidRPr="002C1A24">
        <w:rPr>
          <w:rFonts w:asciiTheme="minorHAnsi" w:eastAsiaTheme="minorHAnsi" w:hAnsiTheme="minorHAnsi"/>
          <w:lang w:eastAsia="en-US"/>
        </w:rPr>
        <w:t xml:space="preserve"> Castle Street, Hanover Street</w:t>
      </w:r>
      <w:r w:rsidR="00F469BB" w:rsidRPr="002C1A24">
        <w:rPr>
          <w:rFonts w:asciiTheme="minorHAnsi" w:eastAsiaTheme="minorHAnsi" w:hAnsiTheme="minorHAnsi"/>
          <w:lang w:eastAsia="en-US"/>
        </w:rPr>
        <w:t xml:space="preserve">, </w:t>
      </w:r>
      <w:r w:rsidR="000E6F30" w:rsidRPr="002C1A24">
        <w:rPr>
          <w:rFonts w:asciiTheme="minorHAnsi" w:eastAsiaTheme="minorHAnsi" w:hAnsiTheme="minorHAnsi"/>
          <w:lang w:eastAsia="en-US"/>
        </w:rPr>
        <w:t>Frederick Street</w:t>
      </w:r>
      <w:r w:rsidR="00F469BB" w:rsidRPr="002C1A24">
        <w:rPr>
          <w:rFonts w:asciiTheme="minorHAnsi" w:eastAsiaTheme="minorHAnsi" w:hAnsiTheme="minorHAnsi"/>
          <w:lang w:eastAsia="en-US"/>
        </w:rPr>
        <w:t xml:space="preserve"> and </w:t>
      </w:r>
      <w:r w:rsidR="008A4A41" w:rsidRPr="002C1A24">
        <w:rPr>
          <w:rFonts w:asciiTheme="minorHAnsi" w:eastAsiaTheme="minorHAnsi" w:hAnsiTheme="minorHAnsi"/>
          <w:lang w:eastAsia="en-US"/>
        </w:rPr>
        <w:t xml:space="preserve">pedestrianised </w:t>
      </w:r>
      <w:r w:rsidR="00F469BB" w:rsidRPr="002C1A24">
        <w:rPr>
          <w:rFonts w:asciiTheme="minorHAnsi" w:eastAsiaTheme="minorHAnsi" w:hAnsiTheme="minorHAnsi"/>
          <w:lang w:eastAsia="en-US"/>
        </w:rPr>
        <w:t xml:space="preserve">Rose Street with the current retail, </w:t>
      </w:r>
      <w:r w:rsidR="008A4A41" w:rsidRPr="002C1A24">
        <w:rPr>
          <w:rFonts w:asciiTheme="minorHAnsi" w:eastAsiaTheme="minorHAnsi" w:hAnsiTheme="minorHAnsi"/>
          <w:lang w:eastAsia="en-US"/>
        </w:rPr>
        <w:t>f</w:t>
      </w:r>
      <w:r w:rsidR="00F469BB" w:rsidRPr="002C1A24">
        <w:rPr>
          <w:rFonts w:asciiTheme="minorHAnsi" w:eastAsiaTheme="minorHAnsi" w:hAnsiTheme="minorHAnsi"/>
          <w:lang w:eastAsia="en-US"/>
        </w:rPr>
        <w:t xml:space="preserve">ood </w:t>
      </w:r>
      <w:r w:rsidR="00221750">
        <w:rPr>
          <w:rFonts w:asciiTheme="minorHAnsi" w:eastAsiaTheme="minorHAnsi" w:hAnsiTheme="minorHAnsi"/>
          <w:lang w:eastAsia="en-US"/>
        </w:rPr>
        <w:t>and</w:t>
      </w:r>
      <w:r w:rsidR="00F469BB" w:rsidRPr="002C1A24">
        <w:rPr>
          <w:rFonts w:asciiTheme="minorHAnsi" w:eastAsiaTheme="minorHAnsi" w:hAnsiTheme="minorHAnsi"/>
          <w:lang w:eastAsia="en-US"/>
        </w:rPr>
        <w:t xml:space="preserve"> </w:t>
      </w:r>
      <w:r w:rsidR="008A4A41" w:rsidRPr="002C1A24">
        <w:rPr>
          <w:rFonts w:asciiTheme="minorHAnsi" w:eastAsiaTheme="minorHAnsi" w:hAnsiTheme="minorHAnsi"/>
          <w:lang w:eastAsia="en-US"/>
        </w:rPr>
        <w:t>d</w:t>
      </w:r>
      <w:r w:rsidR="00F469BB" w:rsidRPr="002C1A24">
        <w:rPr>
          <w:rFonts w:asciiTheme="minorHAnsi" w:eastAsiaTheme="minorHAnsi" w:hAnsiTheme="minorHAnsi"/>
          <w:lang w:eastAsia="en-US"/>
        </w:rPr>
        <w:t xml:space="preserve">rink and </w:t>
      </w:r>
      <w:r w:rsidR="008A4A41" w:rsidRPr="002C1A24">
        <w:rPr>
          <w:rFonts w:asciiTheme="minorHAnsi" w:eastAsiaTheme="minorHAnsi" w:hAnsiTheme="minorHAnsi"/>
          <w:lang w:eastAsia="en-US"/>
        </w:rPr>
        <w:t>l</w:t>
      </w:r>
      <w:r w:rsidR="00F469BB" w:rsidRPr="002C1A24">
        <w:rPr>
          <w:rFonts w:asciiTheme="minorHAnsi" w:eastAsiaTheme="minorHAnsi" w:hAnsiTheme="minorHAnsi"/>
          <w:lang w:eastAsia="en-US"/>
        </w:rPr>
        <w:t>eisure offering in the city represent</w:t>
      </w:r>
      <w:r w:rsidR="002C1A24">
        <w:rPr>
          <w:rFonts w:asciiTheme="minorHAnsi" w:eastAsiaTheme="minorHAnsi" w:hAnsiTheme="minorHAnsi"/>
          <w:lang w:eastAsia="en-US"/>
        </w:rPr>
        <w:t>ing</w:t>
      </w:r>
      <w:r w:rsidR="00F469BB" w:rsidRPr="002C1A24">
        <w:rPr>
          <w:rFonts w:asciiTheme="minorHAnsi" w:eastAsiaTheme="minorHAnsi" w:hAnsiTheme="minorHAnsi"/>
          <w:lang w:eastAsia="en-US"/>
        </w:rPr>
        <w:t xml:space="preserve"> around 8% of the local economy </w:t>
      </w:r>
      <w:r w:rsidR="00A71CA2">
        <w:rPr>
          <w:rFonts w:asciiTheme="minorHAnsi" w:eastAsiaTheme="minorHAnsi" w:hAnsiTheme="minorHAnsi"/>
          <w:lang w:eastAsia="en-US"/>
        </w:rPr>
        <w:t>(</w:t>
      </w:r>
      <w:r w:rsidR="00F469BB" w:rsidRPr="002C1A24">
        <w:rPr>
          <w:rFonts w:asciiTheme="minorHAnsi" w:eastAsiaTheme="minorHAnsi" w:hAnsiTheme="minorHAnsi"/>
          <w:lang w:eastAsia="en-US"/>
        </w:rPr>
        <w:t xml:space="preserve">ONS, 2019). </w:t>
      </w:r>
      <w:r w:rsidR="00272292" w:rsidRPr="002C1A24">
        <w:rPr>
          <w:rFonts w:asciiTheme="minorHAnsi" w:eastAsiaTheme="minorHAnsi" w:hAnsiTheme="minorHAnsi"/>
          <w:lang w:eastAsia="en-US"/>
        </w:rPr>
        <w:t>Additional</w:t>
      </w:r>
      <w:r w:rsidR="00F469BB" w:rsidRPr="002C1A24">
        <w:rPr>
          <w:rFonts w:asciiTheme="minorHAnsi" w:eastAsiaTheme="minorHAnsi" w:hAnsiTheme="minorHAnsi"/>
          <w:lang w:eastAsia="en-US"/>
        </w:rPr>
        <w:t xml:space="preserve"> retail accommodation</w:t>
      </w:r>
      <w:r w:rsidR="00915F44">
        <w:rPr>
          <w:rFonts w:asciiTheme="minorHAnsi" w:eastAsiaTheme="minorHAnsi" w:hAnsiTheme="minorHAnsi"/>
          <w:lang w:eastAsia="en-US"/>
        </w:rPr>
        <w:t xml:space="preserve"> (summarised in Table 1)</w:t>
      </w:r>
      <w:r w:rsidR="000E6F30" w:rsidRPr="002C1A24">
        <w:rPr>
          <w:rFonts w:asciiTheme="minorHAnsi" w:eastAsiaTheme="minorHAnsi" w:hAnsiTheme="minorHAnsi"/>
          <w:lang w:eastAsia="en-US"/>
        </w:rPr>
        <w:t xml:space="preserve"> </w:t>
      </w:r>
      <w:r w:rsidR="00D10237" w:rsidRPr="002C1A24">
        <w:rPr>
          <w:rFonts w:asciiTheme="minorHAnsi" w:eastAsiaTheme="minorHAnsi" w:hAnsiTheme="minorHAnsi"/>
          <w:lang w:eastAsia="en-US"/>
        </w:rPr>
        <w:t xml:space="preserve">is provided </w:t>
      </w:r>
      <w:r w:rsidR="000E6F30" w:rsidRPr="002C1A24">
        <w:rPr>
          <w:rFonts w:asciiTheme="minorHAnsi" w:eastAsiaTheme="minorHAnsi" w:hAnsiTheme="minorHAnsi"/>
          <w:lang w:eastAsia="en-US"/>
        </w:rPr>
        <w:t>in two</w:t>
      </w:r>
      <w:r w:rsidR="00D10237" w:rsidRPr="002C1A24">
        <w:rPr>
          <w:rFonts w:asciiTheme="minorHAnsi" w:eastAsiaTheme="minorHAnsi" w:hAnsiTheme="minorHAnsi"/>
          <w:lang w:eastAsia="en-US"/>
        </w:rPr>
        <w:t xml:space="preserve"> </w:t>
      </w:r>
      <w:r w:rsidR="00272292" w:rsidRPr="002C1A24">
        <w:rPr>
          <w:rFonts w:asciiTheme="minorHAnsi" w:eastAsiaTheme="minorHAnsi" w:hAnsiTheme="minorHAnsi"/>
          <w:lang w:eastAsia="en-US"/>
        </w:rPr>
        <w:t xml:space="preserve">managed </w:t>
      </w:r>
      <w:r w:rsidR="00D10237" w:rsidRPr="002C1A24">
        <w:rPr>
          <w:rFonts w:asciiTheme="minorHAnsi" w:eastAsiaTheme="minorHAnsi" w:hAnsiTheme="minorHAnsi"/>
          <w:lang w:eastAsia="en-US"/>
        </w:rPr>
        <w:t xml:space="preserve">malls </w:t>
      </w:r>
      <w:r w:rsidR="000E6F30" w:rsidRPr="002C1A24">
        <w:rPr>
          <w:rFonts w:asciiTheme="minorHAnsi" w:eastAsiaTheme="minorHAnsi" w:hAnsiTheme="minorHAnsi"/>
          <w:lang w:eastAsia="en-US"/>
        </w:rPr>
        <w:t xml:space="preserve">located on the </w:t>
      </w:r>
      <w:r w:rsidR="001863E6" w:rsidRPr="002C1A24">
        <w:rPr>
          <w:rFonts w:asciiTheme="minorHAnsi" w:eastAsiaTheme="minorHAnsi" w:hAnsiTheme="minorHAnsi"/>
          <w:lang w:eastAsia="en-US"/>
        </w:rPr>
        <w:t>easter</w:t>
      </w:r>
      <w:r w:rsidR="00DA5F93" w:rsidRPr="002C1A24">
        <w:rPr>
          <w:rFonts w:asciiTheme="minorHAnsi" w:eastAsiaTheme="minorHAnsi" w:hAnsiTheme="minorHAnsi"/>
          <w:lang w:eastAsia="en-US"/>
        </w:rPr>
        <w:t>n</w:t>
      </w:r>
      <w:r w:rsidR="001863E6" w:rsidRPr="002C1A24">
        <w:rPr>
          <w:rFonts w:asciiTheme="minorHAnsi" w:eastAsiaTheme="minorHAnsi" w:hAnsiTheme="minorHAnsi"/>
          <w:lang w:eastAsia="en-US"/>
        </w:rPr>
        <w:t xml:space="preserve"> side of Princes Street </w:t>
      </w:r>
      <w:r w:rsidR="00D10237" w:rsidRPr="002C1A24">
        <w:rPr>
          <w:rFonts w:asciiTheme="minorHAnsi" w:eastAsiaTheme="minorHAnsi" w:hAnsiTheme="minorHAnsi"/>
          <w:lang w:eastAsia="en-US"/>
        </w:rPr>
        <w:t xml:space="preserve">– 16-34 </w:t>
      </w:r>
      <w:proofErr w:type="spellStart"/>
      <w:r w:rsidR="00D10237" w:rsidRPr="002C1A24">
        <w:rPr>
          <w:rFonts w:asciiTheme="minorHAnsi" w:eastAsiaTheme="minorHAnsi" w:hAnsiTheme="minorHAnsi"/>
          <w:lang w:eastAsia="en-US"/>
        </w:rPr>
        <w:t>Multrees</w:t>
      </w:r>
      <w:proofErr w:type="spellEnd"/>
      <w:r w:rsidR="00D10237" w:rsidRPr="002C1A24">
        <w:rPr>
          <w:rFonts w:asciiTheme="minorHAnsi" w:eastAsiaTheme="minorHAnsi" w:hAnsiTheme="minorHAnsi"/>
          <w:lang w:eastAsia="en-US"/>
        </w:rPr>
        <w:t xml:space="preserve"> Walk and the Waverl</w:t>
      </w:r>
      <w:r w:rsidR="008A6932">
        <w:rPr>
          <w:rFonts w:asciiTheme="minorHAnsi" w:eastAsiaTheme="minorHAnsi" w:hAnsiTheme="minorHAnsi"/>
          <w:lang w:eastAsia="en-US"/>
        </w:rPr>
        <w:t>e</w:t>
      </w:r>
      <w:r w:rsidR="00D10237" w:rsidRPr="002C1A24">
        <w:rPr>
          <w:rFonts w:asciiTheme="minorHAnsi" w:eastAsiaTheme="minorHAnsi" w:hAnsiTheme="minorHAnsi"/>
          <w:lang w:eastAsia="en-US"/>
        </w:rPr>
        <w:t>y Mall.</w:t>
      </w:r>
      <w:r w:rsidR="00572DB8" w:rsidRPr="002C1A24">
        <w:rPr>
          <w:rFonts w:asciiTheme="minorHAnsi" w:eastAsiaTheme="minorHAnsi" w:hAnsiTheme="minorHAnsi"/>
          <w:lang w:eastAsia="en-US"/>
        </w:rPr>
        <w:t xml:space="preserve"> </w:t>
      </w:r>
      <w:r w:rsidR="001863E6" w:rsidRPr="002C1A24">
        <w:rPr>
          <w:rFonts w:asciiTheme="minorHAnsi" w:eastAsiaTheme="minorHAnsi" w:hAnsiTheme="minorHAnsi"/>
          <w:lang w:eastAsia="en-US"/>
        </w:rPr>
        <w:t xml:space="preserve">Princes Street </w:t>
      </w:r>
      <w:r w:rsidR="002C1A24">
        <w:rPr>
          <w:rFonts w:asciiTheme="minorHAnsi" w:eastAsiaTheme="minorHAnsi" w:hAnsiTheme="minorHAnsi"/>
          <w:lang w:eastAsia="en-US"/>
        </w:rPr>
        <w:t xml:space="preserve">has </w:t>
      </w:r>
      <w:r w:rsidR="001863E6" w:rsidRPr="002C1A24">
        <w:rPr>
          <w:rFonts w:asciiTheme="minorHAnsi" w:eastAsiaTheme="minorHAnsi" w:hAnsiTheme="minorHAnsi"/>
          <w:lang w:eastAsia="en-US"/>
        </w:rPr>
        <w:t>traditionally be</w:t>
      </w:r>
      <w:r w:rsidR="002C1A24">
        <w:rPr>
          <w:rFonts w:asciiTheme="minorHAnsi" w:eastAsiaTheme="minorHAnsi" w:hAnsiTheme="minorHAnsi"/>
          <w:lang w:eastAsia="en-US"/>
        </w:rPr>
        <w:t>en</w:t>
      </w:r>
      <w:r w:rsidR="001863E6" w:rsidRPr="002C1A24">
        <w:rPr>
          <w:rFonts w:asciiTheme="minorHAnsi" w:eastAsiaTheme="minorHAnsi" w:hAnsiTheme="minorHAnsi"/>
          <w:lang w:eastAsia="en-US"/>
        </w:rPr>
        <w:t xml:space="preserve"> the prime retail pitch</w:t>
      </w:r>
      <w:r w:rsidR="002C1A24">
        <w:rPr>
          <w:rFonts w:asciiTheme="minorHAnsi" w:eastAsiaTheme="minorHAnsi" w:hAnsiTheme="minorHAnsi"/>
          <w:lang w:eastAsia="en-US"/>
        </w:rPr>
        <w:t xml:space="preserve"> in the city</w:t>
      </w:r>
      <w:r w:rsidR="001863E6" w:rsidRPr="002C1A24">
        <w:rPr>
          <w:rFonts w:asciiTheme="minorHAnsi" w:eastAsiaTheme="minorHAnsi" w:hAnsiTheme="minorHAnsi"/>
          <w:lang w:eastAsia="en-US"/>
        </w:rPr>
        <w:t>.</w:t>
      </w:r>
      <w:r w:rsidR="00A31097">
        <w:rPr>
          <w:rFonts w:asciiTheme="minorHAnsi" w:eastAsiaTheme="minorHAnsi" w:hAnsiTheme="minorHAnsi"/>
          <w:lang w:eastAsia="en-US"/>
        </w:rPr>
        <w:t xml:space="preserve"> </w:t>
      </w:r>
      <w:r w:rsidR="00A71CA2" w:rsidRPr="002C1A24">
        <w:rPr>
          <w:rFonts w:asciiTheme="minorHAnsi" w:eastAsiaTheme="minorHAnsi" w:hAnsiTheme="minorHAnsi"/>
          <w:lang w:eastAsia="en-US"/>
        </w:rPr>
        <w:t>The St James Centre which previously provided around 41,800 square metres closed in 2016 for redevelopment. The replacement, St James Quarter, is a mixed-use open air shopping mall, estimated at a cost of £1 billion,</w:t>
      </w:r>
      <w:r w:rsidR="00221750">
        <w:rPr>
          <w:rFonts w:asciiTheme="minorHAnsi" w:eastAsiaTheme="minorHAnsi" w:hAnsiTheme="minorHAnsi"/>
          <w:lang w:eastAsia="en-US"/>
        </w:rPr>
        <w:t xml:space="preserve"> with the first phase </w:t>
      </w:r>
      <w:r w:rsidR="00A71CA2" w:rsidRPr="002C1A24">
        <w:rPr>
          <w:rFonts w:asciiTheme="minorHAnsi" w:eastAsiaTheme="minorHAnsi" w:hAnsiTheme="minorHAnsi"/>
          <w:lang w:eastAsia="en-US"/>
        </w:rPr>
        <w:t>open</w:t>
      </w:r>
      <w:r w:rsidR="00221750">
        <w:rPr>
          <w:rFonts w:asciiTheme="minorHAnsi" w:eastAsiaTheme="minorHAnsi" w:hAnsiTheme="minorHAnsi"/>
          <w:lang w:eastAsia="en-US"/>
        </w:rPr>
        <w:t>ing</w:t>
      </w:r>
      <w:r w:rsidR="00A71CA2" w:rsidRPr="002C1A24">
        <w:rPr>
          <w:rFonts w:asciiTheme="minorHAnsi" w:eastAsiaTheme="minorHAnsi" w:hAnsiTheme="minorHAnsi"/>
          <w:lang w:eastAsia="en-US"/>
        </w:rPr>
        <w:t xml:space="preserve"> in 2021 and will host 85 shops, 30 restaurants, two hotels, 152 residential apartments and a cinema</w:t>
      </w:r>
      <w:r w:rsidR="00221750">
        <w:rPr>
          <w:rFonts w:asciiTheme="minorHAnsi" w:eastAsiaTheme="minorHAnsi" w:hAnsiTheme="minorHAnsi"/>
          <w:lang w:eastAsia="en-US"/>
        </w:rPr>
        <w:t xml:space="preserve"> when completed</w:t>
      </w:r>
      <w:r w:rsidR="00A71CA2" w:rsidRPr="002C1A24">
        <w:rPr>
          <w:rFonts w:asciiTheme="minorHAnsi" w:eastAsiaTheme="minorHAnsi" w:hAnsiTheme="minorHAnsi"/>
          <w:lang w:eastAsia="en-US"/>
        </w:rPr>
        <w:t>.</w:t>
      </w:r>
    </w:p>
    <w:p w14:paraId="1190FA1D" w14:textId="77777777" w:rsidR="00221750" w:rsidRPr="002C1A24" w:rsidRDefault="00221750" w:rsidP="00A71CA2">
      <w:pPr>
        <w:spacing w:line="360" w:lineRule="auto"/>
        <w:jc w:val="both"/>
        <w:rPr>
          <w:rFonts w:asciiTheme="minorHAnsi" w:eastAsiaTheme="minorHAnsi" w:hAnsiTheme="minorHAnsi"/>
          <w:lang w:eastAsia="en-US"/>
        </w:rPr>
      </w:pPr>
    </w:p>
    <w:p w14:paraId="5D03FC9C" w14:textId="51B68AC0" w:rsidR="002C4DD7" w:rsidRPr="00D520EF" w:rsidRDefault="00D520EF" w:rsidP="009275F9">
      <w:pPr>
        <w:spacing w:line="360" w:lineRule="auto"/>
        <w:rPr>
          <w:rFonts w:asciiTheme="minorHAnsi" w:eastAsiaTheme="minorHAnsi" w:hAnsiTheme="minorHAnsi" w:cstheme="minorHAnsi"/>
          <w:b/>
          <w:bCs/>
          <w:sz w:val="22"/>
          <w:szCs w:val="22"/>
        </w:rPr>
      </w:pPr>
      <w:r w:rsidRPr="00D520EF">
        <w:rPr>
          <w:rFonts w:asciiTheme="minorHAnsi" w:eastAsiaTheme="minorHAnsi" w:hAnsiTheme="minorHAnsi" w:cstheme="minorHAnsi"/>
          <w:b/>
          <w:bCs/>
          <w:sz w:val="22"/>
          <w:szCs w:val="22"/>
        </w:rPr>
        <w:t xml:space="preserve">Table </w:t>
      </w:r>
      <w:r w:rsidR="00177139">
        <w:rPr>
          <w:rFonts w:asciiTheme="minorHAnsi" w:eastAsiaTheme="minorHAnsi" w:hAnsiTheme="minorHAnsi" w:cstheme="minorHAnsi"/>
          <w:b/>
          <w:bCs/>
          <w:sz w:val="22"/>
          <w:szCs w:val="22"/>
        </w:rPr>
        <w:t>1</w:t>
      </w:r>
      <w:r w:rsidRPr="00D520EF">
        <w:rPr>
          <w:rFonts w:asciiTheme="minorHAnsi" w:eastAsiaTheme="minorHAnsi" w:hAnsiTheme="minorHAnsi" w:cstheme="minorHAnsi"/>
          <w:b/>
          <w:bCs/>
          <w:sz w:val="22"/>
          <w:szCs w:val="22"/>
        </w:rPr>
        <w:t>.</w:t>
      </w:r>
      <w:r w:rsidR="00572DB8">
        <w:rPr>
          <w:rFonts w:asciiTheme="minorHAnsi" w:eastAsiaTheme="minorHAnsi" w:hAnsiTheme="minorHAnsi" w:cstheme="minorHAnsi"/>
          <w:b/>
          <w:bCs/>
          <w:sz w:val="22"/>
          <w:szCs w:val="22"/>
        </w:rPr>
        <w:t xml:space="preserve"> </w:t>
      </w:r>
      <w:r w:rsidR="0032572F">
        <w:rPr>
          <w:rFonts w:asciiTheme="minorHAnsi" w:eastAsiaTheme="minorHAnsi" w:hAnsiTheme="minorHAnsi" w:cstheme="minorHAnsi"/>
          <w:b/>
          <w:bCs/>
          <w:sz w:val="22"/>
          <w:szCs w:val="22"/>
        </w:rPr>
        <w:t xml:space="preserve"> </w:t>
      </w:r>
      <w:r w:rsidRPr="00D520EF">
        <w:rPr>
          <w:rFonts w:asciiTheme="minorHAnsi" w:eastAsiaTheme="minorHAnsi" w:hAnsiTheme="minorHAnsi" w:cstheme="minorHAnsi"/>
          <w:b/>
          <w:bCs/>
          <w:sz w:val="22"/>
          <w:szCs w:val="22"/>
        </w:rPr>
        <w:t>Retail Floorspace in Edinburgh</w:t>
      </w:r>
    </w:p>
    <w:tbl>
      <w:tblPr>
        <w:tblW w:w="9710" w:type="dxa"/>
        <w:tblLook w:val="04A0" w:firstRow="1" w:lastRow="0" w:firstColumn="1" w:lastColumn="0" w:noHBand="0" w:noVBand="1"/>
      </w:tblPr>
      <w:tblGrid>
        <w:gridCol w:w="2561"/>
        <w:gridCol w:w="1326"/>
        <w:gridCol w:w="1385"/>
        <w:gridCol w:w="1455"/>
        <w:gridCol w:w="2983"/>
      </w:tblGrid>
      <w:tr w:rsidR="002C4DD7" w:rsidRPr="00AE050F" w14:paraId="56938863" w14:textId="77777777" w:rsidTr="003B44A8">
        <w:trPr>
          <w:trHeight w:val="567"/>
        </w:trPr>
        <w:tc>
          <w:tcPr>
            <w:tcW w:w="2561" w:type="dxa"/>
            <w:vMerge w:val="restart"/>
            <w:tcBorders>
              <w:top w:val="triple" w:sz="4" w:space="0" w:color="548DD4" w:themeColor="text2" w:themeTint="99"/>
              <w:left w:val="triple" w:sz="4" w:space="0" w:color="548DD4" w:themeColor="text2" w:themeTint="99"/>
              <w:bottom w:val="single" w:sz="2" w:space="0" w:color="548DD4" w:themeColor="text2" w:themeTint="99"/>
              <w:right w:val="dashSmallGap" w:sz="4" w:space="0" w:color="548DD4" w:themeColor="text2" w:themeTint="99"/>
            </w:tcBorders>
            <w:shd w:val="clear" w:color="auto" w:fill="8DB3E2" w:themeFill="text2" w:themeFillTint="66"/>
            <w:vAlign w:val="center"/>
            <w:hideMark/>
          </w:tcPr>
          <w:p w14:paraId="7CFEDDCF" w14:textId="5EA65EDB" w:rsidR="002C4DD7" w:rsidRPr="00AE050F" w:rsidRDefault="003B44A8" w:rsidP="00B15FBD">
            <w:pPr>
              <w:ind w:firstLine="142"/>
              <w:jc w:val="center"/>
              <w:rPr>
                <w:rFonts w:ascii="Calibri" w:hAnsi="Calibri"/>
                <w:b/>
                <w:bCs/>
                <w:color w:val="000000"/>
                <w:sz w:val="22"/>
                <w:szCs w:val="22"/>
              </w:rPr>
            </w:pPr>
            <w:r>
              <w:rPr>
                <w:rFonts w:ascii="Calibri" w:hAnsi="Calibri" w:cstheme="minorHAnsi"/>
                <w:b/>
                <w:bCs/>
                <w:color w:val="000000"/>
                <w:sz w:val="22"/>
                <w:szCs w:val="22"/>
              </w:rPr>
              <w:t>Type of Floorspace</w:t>
            </w:r>
          </w:p>
        </w:tc>
        <w:tc>
          <w:tcPr>
            <w:tcW w:w="1326" w:type="dxa"/>
            <w:vMerge w:val="restart"/>
            <w:tcBorders>
              <w:top w:val="triple" w:sz="4" w:space="0" w:color="548DD4" w:themeColor="text2" w:themeTint="99"/>
              <w:left w:val="dashSmallGap" w:sz="4" w:space="0" w:color="548DD4" w:themeColor="text2" w:themeTint="99"/>
              <w:bottom w:val="single" w:sz="2" w:space="0" w:color="548DD4" w:themeColor="text2" w:themeTint="99"/>
              <w:right w:val="dashSmallGap" w:sz="4" w:space="0" w:color="548DD4" w:themeColor="text2" w:themeTint="99"/>
            </w:tcBorders>
            <w:shd w:val="clear" w:color="auto" w:fill="8DB3E2" w:themeFill="text2" w:themeFillTint="66"/>
            <w:vAlign w:val="center"/>
            <w:hideMark/>
          </w:tcPr>
          <w:p w14:paraId="5890590A" w14:textId="77777777" w:rsidR="002C4DD7" w:rsidRPr="00AE050F" w:rsidRDefault="002C4DD7" w:rsidP="00B15FBD">
            <w:pPr>
              <w:ind w:firstLine="142"/>
              <w:jc w:val="center"/>
              <w:rPr>
                <w:rFonts w:ascii="Calibri" w:hAnsi="Calibri"/>
                <w:b/>
                <w:bCs/>
                <w:color w:val="000000"/>
                <w:sz w:val="22"/>
                <w:szCs w:val="22"/>
              </w:rPr>
            </w:pPr>
            <w:r w:rsidRPr="00AE050F">
              <w:rPr>
                <w:rFonts w:ascii="Calibri" w:hAnsi="Calibri"/>
                <w:b/>
                <w:bCs/>
                <w:color w:val="000000"/>
                <w:sz w:val="22"/>
                <w:szCs w:val="22"/>
              </w:rPr>
              <w:t>Estimated Floor Area</w:t>
            </w:r>
          </w:p>
        </w:tc>
        <w:tc>
          <w:tcPr>
            <w:tcW w:w="1385" w:type="dxa"/>
            <w:vMerge w:val="restart"/>
            <w:tcBorders>
              <w:top w:val="triple" w:sz="4" w:space="0" w:color="548DD4" w:themeColor="text2" w:themeTint="99"/>
              <w:left w:val="dashSmallGap" w:sz="4" w:space="0" w:color="548DD4" w:themeColor="text2" w:themeTint="99"/>
              <w:bottom w:val="single" w:sz="2" w:space="0" w:color="548DD4" w:themeColor="text2" w:themeTint="99"/>
              <w:right w:val="dashSmallGap" w:sz="4" w:space="0" w:color="548DD4" w:themeColor="text2" w:themeTint="99"/>
            </w:tcBorders>
            <w:shd w:val="clear" w:color="auto" w:fill="8DB3E2" w:themeFill="text2" w:themeFillTint="66"/>
            <w:vAlign w:val="center"/>
            <w:hideMark/>
          </w:tcPr>
          <w:p w14:paraId="34B4C4CD" w14:textId="0FC539C0" w:rsidR="002C4DD7" w:rsidRPr="00AE050F" w:rsidRDefault="002C4DD7" w:rsidP="00B15FBD">
            <w:pPr>
              <w:ind w:firstLine="142"/>
              <w:jc w:val="center"/>
              <w:rPr>
                <w:rFonts w:ascii="Calibri" w:hAnsi="Calibri"/>
                <w:b/>
                <w:bCs/>
                <w:color w:val="000000"/>
                <w:sz w:val="22"/>
                <w:szCs w:val="22"/>
              </w:rPr>
            </w:pPr>
            <w:r w:rsidRPr="00AE050F">
              <w:rPr>
                <w:rFonts w:ascii="Calibri" w:hAnsi="Calibri" w:cstheme="minorHAnsi"/>
                <w:b/>
                <w:bCs/>
                <w:color w:val="000000"/>
                <w:sz w:val="22"/>
                <w:szCs w:val="22"/>
              </w:rPr>
              <w:t xml:space="preserve">2017/18 </w:t>
            </w:r>
            <w:r w:rsidR="003B44A8">
              <w:rPr>
                <w:rFonts w:ascii="Calibri" w:hAnsi="Calibri" w:cstheme="minorHAnsi"/>
                <w:b/>
                <w:bCs/>
                <w:color w:val="000000"/>
                <w:sz w:val="22"/>
                <w:szCs w:val="22"/>
              </w:rPr>
              <w:t>S</w:t>
            </w:r>
            <w:r w:rsidRPr="00AE050F">
              <w:rPr>
                <w:rFonts w:ascii="Calibri" w:hAnsi="Calibri" w:cstheme="minorHAnsi"/>
                <w:b/>
                <w:bCs/>
                <w:color w:val="000000"/>
                <w:sz w:val="22"/>
                <w:szCs w:val="22"/>
              </w:rPr>
              <w:t xml:space="preserve">ize </w:t>
            </w:r>
            <w:r w:rsidR="003B44A8">
              <w:rPr>
                <w:rFonts w:ascii="Calibri" w:hAnsi="Calibri" w:cstheme="minorHAnsi"/>
                <w:b/>
                <w:bCs/>
                <w:color w:val="000000"/>
                <w:sz w:val="22"/>
                <w:szCs w:val="22"/>
              </w:rPr>
              <w:t>(</w:t>
            </w:r>
            <w:r w:rsidRPr="00AE050F">
              <w:rPr>
                <w:rFonts w:ascii="Calibri" w:hAnsi="Calibri" w:cstheme="minorHAnsi"/>
                <w:b/>
                <w:bCs/>
                <w:color w:val="000000"/>
                <w:sz w:val="22"/>
                <w:szCs w:val="22"/>
              </w:rPr>
              <w:t>square metre</w:t>
            </w:r>
            <w:r w:rsidR="003B44A8">
              <w:rPr>
                <w:rFonts w:ascii="Calibri" w:hAnsi="Calibri" w:cstheme="minorHAnsi"/>
                <w:b/>
                <w:bCs/>
                <w:color w:val="000000"/>
                <w:sz w:val="22"/>
                <w:szCs w:val="22"/>
              </w:rPr>
              <w:t>)</w:t>
            </w:r>
          </w:p>
        </w:tc>
        <w:tc>
          <w:tcPr>
            <w:tcW w:w="1455" w:type="dxa"/>
            <w:vMerge w:val="restart"/>
            <w:tcBorders>
              <w:top w:val="triple" w:sz="4" w:space="0" w:color="548DD4" w:themeColor="text2" w:themeTint="99"/>
              <w:left w:val="dashSmallGap" w:sz="4" w:space="0" w:color="548DD4" w:themeColor="text2" w:themeTint="99"/>
              <w:bottom w:val="single" w:sz="2" w:space="0" w:color="548DD4" w:themeColor="text2" w:themeTint="99"/>
              <w:right w:val="dashSmallGap" w:sz="4" w:space="0" w:color="548DD4" w:themeColor="text2" w:themeTint="99"/>
            </w:tcBorders>
            <w:shd w:val="clear" w:color="auto" w:fill="8DB3E2" w:themeFill="text2" w:themeFillTint="66"/>
            <w:vAlign w:val="center"/>
            <w:hideMark/>
          </w:tcPr>
          <w:p w14:paraId="15EEC318" w14:textId="7D58AF63" w:rsidR="002C4DD7" w:rsidRPr="00AE050F" w:rsidRDefault="003B44A8" w:rsidP="00B15FBD">
            <w:pPr>
              <w:ind w:firstLine="142"/>
              <w:jc w:val="center"/>
              <w:rPr>
                <w:rFonts w:ascii="Calibri" w:hAnsi="Calibri"/>
                <w:b/>
                <w:bCs/>
                <w:color w:val="000000"/>
                <w:sz w:val="22"/>
                <w:szCs w:val="22"/>
              </w:rPr>
            </w:pPr>
            <w:r>
              <w:rPr>
                <w:rFonts w:ascii="Calibri" w:hAnsi="Calibri" w:cstheme="minorHAnsi"/>
                <w:b/>
                <w:bCs/>
                <w:color w:val="000000"/>
                <w:sz w:val="22"/>
                <w:szCs w:val="22"/>
              </w:rPr>
              <w:t>Mall O</w:t>
            </w:r>
            <w:r w:rsidR="002C4DD7" w:rsidRPr="00AE050F">
              <w:rPr>
                <w:rFonts w:ascii="Calibri" w:hAnsi="Calibri" w:cstheme="minorHAnsi"/>
                <w:b/>
                <w:bCs/>
                <w:color w:val="000000"/>
                <w:sz w:val="22"/>
                <w:szCs w:val="22"/>
              </w:rPr>
              <w:t>pening</w:t>
            </w:r>
          </w:p>
        </w:tc>
        <w:tc>
          <w:tcPr>
            <w:tcW w:w="2983" w:type="dxa"/>
            <w:vMerge w:val="restart"/>
            <w:tcBorders>
              <w:top w:val="triple" w:sz="4" w:space="0" w:color="548DD4" w:themeColor="text2" w:themeTint="99"/>
              <w:left w:val="dashSmallGap" w:sz="4" w:space="0" w:color="548DD4" w:themeColor="text2" w:themeTint="99"/>
              <w:bottom w:val="single" w:sz="2" w:space="0" w:color="548DD4" w:themeColor="text2" w:themeTint="99"/>
              <w:right w:val="triple" w:sz="4" w:space="0" w:color="548DD4" w:themeColor="text2" w:themeTint="99"/>
            </w:tcBorders>
            <w:shd w:val="clear" w:color="auto" w:fill="8DB3E2" w:themeFill="text2" w:themeFillTint="66"/>
            <w:vAlign w:val="center"/>
            <w:hideMark/>
          </w:tcPr>
          <w:p w14:paraId="03BF224D" w14:textId="77777777" w:rsidR="002C4DD7" w:rsidRPr="00AE050F" w:rsidRDefault="002C4DD7" w:rsidP="00B15FBD">
            <w:pPr>
              <w:ind w:firstLine="142"/>
              <w:jc w:val="center"/>
              <w:rPr>
                <w:rFonts w:ascii="Calibri" w:hAnsi="Calibri"/>
                <w:b/>
                <w:bCs/>
                <w:color w:val="000000"/>
                <w:sz w:val="22"/>
                <w:szCs w:val="22"/>
              </w:rPr>
            </w:pPr>
            <w:r w:rsidRPr="00AE050F">
              <w:rPr>
                <w:rFonts w:ascii="Calibri" w:hAnsi="Calibri"/>
                <w:b/>
                <w:bCs/>
                <w:color w:val="000000"/>
                <w:sz w:val="22"/>
                <w:szCs w:val="22"/>
              </w:rPr>
              <w:t>Refurbishment/Extension</w:t>
            </w:r>
          </w:p>
        </w:tc>
      </w:tr>
      <w:tr w:rsidR="002C4DD7" w:rsidRPr="00AE050F" w14:paraId="2907AD45" w14:textId="77777777" w:rsidTr="003B44A8">
        <w:trPr>
          <w:trHeight w:val="537"/>
        </w:trPr>
        <w:tc>
          <w:tcPr>
            <w:tcW w:w="2561" w:type="dxa"/>
            <w:vMerge/>
            <w:tcBorders>
              <w:top w:val="dashSmallGap" w:sz="18" w:space="0" w:color="548DD4" w:themeColor="text2" w:themeTint="99"/>
              <w:left w:val="triple" w:sz="4" w:space="0" w:color="548DD4" w:themeColor="text2" w:themeTint="99"/>
              <w:bottom w:val="single" w:sz="2" w:space="0" w:color="548DD4" w:themeColor="text2" w:themeTint="99"/>
              <w:right w:val="dashSmallGap" w:sz="4" w:space="0" w:color="548DD4" w:themeColor="text2" w:themeTint="99"/>
            </w:tcBorders>
            <w:shd w:val="clear" w:color="auto" w:fill="8DB3E2" w:themeFill="text2" w:themeFillTint="66"/>
            <w:vAlign w:val="center"/>
            <w:hideMark/>
          </w:tcPr>
          <w:p w14:paraId="74E42271" w14:textId="77777777" w:rsidR="002C4DD7" w:rsidRPr="00AE050F" w:rsidRDefault="002C4DD7" w:rsidP="00B15FBD">
            <w:pPr>
              <w:ind w:firstLine="142"/>
              <w:rPr>
                <w:rFonts w:ascii="Calibri" w:hAnsi="Calibri"/>
                <w:b/>
                <w:bCs/>
                <w:color w:val="000000"/>
                <w:sz w:val="22"/>
                <w:szCs w:val="22"/>
              </w:rPr>
            </w:pPr>
          </w:p>
        </w:tc>
        <w:tc>
          <w:tcPr>
            <w:tcW w:w="1326" w:type="dxa"/>
            <w:vMerge/>
            <w:tcBorders>
              <w:top w:val="dashSmallGap" w:sz="18" w:space="0" w:color="548DD4" w:themeColor="text2" w:themeTint="99"/>
              <w:left w:val="dashSmallGap" w:sz="4" w:space="0" w:color="548DD4" w:themeColor="text2" w:themeTint="99"/>
              <w:bottom w:val="single" w:sz="2" w:space="0" w:color="548DD4" w:themeColor="text2" w:themeTint="99"/>
              <w:right w:val="dashSmallGap" w:sz="4" w:space="0" w:color="548DD4" w:themeColor="text2" w:themeTint="99"/>
            </w:tcBorders>
            <w:shd w:val="clear" w:color="auto" w:fill="8DB3E2" w:themeFill="text2" w:themeFillTint="66"/>
            <w:vAlign w:val="center"/>
            <w:hideMark/>
          </w:tcPr>
          <w:p w14:paraId="6F0A3924" w14:textId="77777777" w:rsidR="002C4DD7" w:rsidRPr="00AE050F" w:rsidRDefault="002C4DD7" w:rsidP="00B15FBD">
            <w:pPr>
              <w:ind w:firstLine="142"/>
              <w:jc w:val="center"/>
              <w:rPr>
                <w:rFonts w:ascii="Calibri" w:hAnsi="Calibri"/>
                <w:b/>
                <w:bCs/>
                <w:color w:val="000000"/>
                <w:sz w:val="22"/>
                <w:szCs w:val="22"/>
              </w:rPr>
            </w:pPr>
          </w:p>
        </w:tc>
        <w:tc>
          <w:tcPr>
            <w:tcW w:w="1385" w:type="dxa"/>
            <w:vMerge/>
            <w:tcBorders>
              <w:top w:val="dashSmallGap" w:sz="18" w:space="0" w:color="548DD4" w:themeColor="text2" w:themeTint="99"/>
              <w:left w:val="dashSmallGap" w:sz="4" w:space="0" w:color="548DD4" w:themeColor="text2" w:themeTint="99"/>
              <w:bottom w:val="single" w:sz="2" w:space="0" w:color="548DD4" w:themeColor="text2" w:themeTint="99"/>
              <w:right w:val="dashSmallGap" w:sz="4" w:space="0" w:color="548DD4" w:themeColor="text2" w:themeTint="99"/>
            </w:tcBorders>
            <w:shd w:val="clear" w:color="auto" w:fill="8DB3E2" w:themeFill="text2" w:themeFillTint="66"/>
            <w:vAlign w:val="center"/>
            <w:hideMark/>
          </w:tcPr>
          <w:p w14:paraId="763F1016" w14:textId="77777777" w:rsidR="002C4DD7" w:rsidRPr="00AE050F" w:rsidRDefault="002C4DD7" w:rsidP="00B15FBD">
            <w:pPr>
              <w:ind w:firstLine="142"/>
              <w:rPr>
                <w:rFonts w:ascii="Calibri" w:hAnsi="Calibri"/>
                <w:b/>
                <w:bCs/>
                <w:color w:val="000000"/>
                <w:sz w:val="22"/>
                <w:szCs w:val="22"/>
              </w:rPr>
            </w:pPr>
          </w:p>
        </w:tc>
        <w:tc>
          <w:tcPr>
            <w:tcW w:w="1455" w:type="dxa"/>
            <w:vMerge/>
            <w:tcBorders>
              <w:top w:val="dashSmallGap" w:sz="18" w:space="0" w:color="548DD4" w:themeColor="text2" w:themeTint="99"/>
              <w:left w:val="dashSmallGap" w:sz="4" w:space="0" w:color="548DD4" w:themeColor="text2" w:themeTint="99"/>
              <w:bottom w:val="single" w:sz="2" w:space="0" w:color="548DD4" w:themeColor="text2" w:themeTint="99"/>
              <w:right w:val="dashSmallGap" w:sz="4" w:space="0" w:color="548DD4" w:themeColor="text2" w:themeTint="99"/>
            </w:tcBorders>
            <w:shd w:val="clear" w:color="auto" w:fill="8DB3E2" w:themeFill="text2" w:themeFillTint="66"/>
            <w:vAlign w:val="center"/>
            <w:hideMark/>
          </w:tcPr>
          <w:p w14:paraId="6C591F7D" w14:textId="77777777" w:rsidR="002C4DD7" w:rsidRPr="00AE050F" w:rsidRDefault="002C4DD7" w:rsidP="00B15FBD">
            <w:pPr>
              <w:ind w:firstLine="142"/>
              <w:rPr>
                <w:rFonts w:ascii="Calibri" w:hAnsi="Calibri"/>
                <w:b/>
                <w:bCs/>
                <w:color w:val="000000"/>
                <w:sz w:val="22"/>
                <w:szCs w:val="22"/>
              </w:rPr>
            </w:pPr>
          </w:p>
        </w:tc>
        <w:tc>
          <w:tcPr>
            <w:tcW w:w="2983" w:type="dxa"/>
            <w:vMerge/>
            <w:tcBorders>
              <w:top w:val="dashSmallGap" w:sz="18" w:space="0" w:color="548DD4" w:themeColor="text2" w:themeTint="99"/>
              <w:left w:val="dashSmallGap" w:sz="4" w:space="0" w:color="548DD4" w:themeColor="text2" w:themeTint="99"/>
              <w:bottom w:val="single" w:sz="2" w:space="0" w:color="548DD4" w:themeColor="text2" w:themeTint="99"/>
              <w:right w:val="triple" w:sz="4" w:space="0" w:color="548DD4" w:themeColor="text2" w:themeTint="99"/>
            </w:tcBorders>
            <w:shd w:val="clear" w:color="auto" w:fill="8DB3E2" w:themeFill="text2" w:themeFillTint="66"/>
            <w:vAlign w:val="center"/>
            <w:hideMark/>
          </w:tcPr>
          <w:p w14:paraId="3219F639" w14:textId="77777777" w:rsidR="002C4DD7" w:rsidRPr="00AE050F" w:rsidRDefault="002C4DD7" w:rsidP="00B15FBD">
            <w:pPr>
              <w:ind w:firstLine="142"/>
              <w:rPr>
                <w:rFonts w:ascii="Calibri" w:hAnsi="Calibri"/>
                <w:b/>
                <w:bCs/>
                <w:color w:val="000000"/>
                <w:sz w:val="22"/>
                <w:szCs w:val="22"/>
              </w:rPr>
            </w:pPr>
          </w:p>
        </w:tc>
      </w:tr>
      <w:tr w:rsidR="002C4DD7" w:rsidRPr="00AE050F" w14:paraId="53E42FD9" w14:textId="77777777" w:rsidTr="003B44A8">
        <w:trPr>
          <w:trHeight w:val="340"/>
        </w:trPr>
        <w:tc>
          <w:tcPr>
            <w:tcW w:w="9710" w:type="dxa"/>
            <w:gridSpan w:val="5"/>
            <w:tcBorders>
              <w:top w:val="single" w:sz="2" w:space="0" w:color="548DD4" w:themeColor="text2" w:themeTint="99"/>
              <w:left w:val="triple" w:sz="4" w:space="0" w:color="548DD4" w:themeColor="text2" w:themeTint="99"/>
              <w:bottom w:val="single" w:sz="2" w:space="0" w:color="548DD4" w:themeColor="text2" w:themeTint="99"/>
              <w:right w:val="triple" w:sz="4" w:space="0" w:color="548DD4" w:themeColor="text2" w:themeTint="99"/>
            </w:tcBorders>
            <w:shd w:val="clear" w:color="auto" w:fill="auto"/>
            <w:vAlign w:val="center"/>
            <w:hideMark/>
          </w:tcPr>
          <w:p w14:paraId="268EEB43" w14:textId="77777777" w:rsidR="002C4DD7" w:rsidRPr="00AE050F" w:rsidRDefault="002C4DD7" w:rsidP="00B15FBD">
            <w:pPr>
              <w:ind w:firstLine="142"/>
              <w:jc w:val="center"/>
              <w:rPr>
                <w:rFonts w:ascii="Calibri" w:hAnsi="Calibri"/>
                <w:b/>
                <w:bCs/>
                <w:color w:val="000000"/>
                <w:sz w:val="22"/>
                <w:szCs w:val="22"/>
              </w:rPr>
            </w:pPr>
            <w:r w:rsidRPr="00AE050F">
              <w:rPr>
                <w:rFonts w:ascii="Calibri" w:hAnsi="Calibri" w:cstheme="minorHAnsi"/>
                <w:b/>
                <w:bCs/>
                <w:color w:val="000000"/>
                <w:sz w:val="22"/>
                <w:szCs w:val="22"/>
              </w:rPr>
              <w:t>Metropolitan Centre</w:t>
            </w:r>
            <w:r>
              <w:rPr>
                <w:rFonts w:ascii="Calibri" w:hAnsi="Calibri" w:cstheme="minorHAnsi"/>
                <w:b/>
                <w:bCs/>
                <w:color w:val="000000"/>
                <w:sz w:val="22"/>
                <w:szCs w:val="22"/>
              </w:rPr>
              <w:t xml:space="preserve"> – Edinburgh</w:t>
            </w:r>
          </w:p>
        </w:tc>
      </w:tr>
      <w:tr w:rsidR="002C4DD7" w:rsidRPr="00AE050F" w14:paraId="5AFBB718" w14:textId="77777777" w:rsidTr="003B44A8">
        <w:trPr>
          <w:trHeight w:val="320"/>
        </w:trPr>
        <w:tc>
          <w:tcPr>
            <w:tcW w:w="2561" w:type="dxa"/>
            <w:tcBorders>
              <w:top w:val="single" w:sz="2" w:space="0" w:color="548DD4" w:themeColor="text2" w:themeTint="99"/>
              <w:left w:val="triple"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740C6EBF" w14:textId="63594357" w:rsidR="002C4DD7" w:rsidRPr="00AE050F" w:rsidRDefault="003B44A8" w:rsidP="003B44A8">
            <w:pPr>
              <w:rPr>
                <w:rFonts w:ascii="Calibri" w:hAnsi="Calibri"/>
                <w:b/>
                <w:bCs/>
                <w:i/>
                <w:iCs/>
                <w:color w:val="000000"/>
                <w:sz w:val="22"/>
                <w:szCs w:val="22"/>
              </w:rPr>
            </w:pPr>
            <w:r>
              <w:rPr>
                <w:rFonts w:ascii="Calibri" w:hAnsi="Calibri"/>
                <w:b/>
                <w:bCs/>
                <w:i/>
                <w:iCs/>
                <w:color w:val="000000"/>
                <w:sz w:val="22"/>
                <w:szCs w:val="22"/>
              </w:rPr>
              <w:t>“High Street” units</w:t>
            </w:r>
          </w:p>
        </w:tc>
        <w:tc>
          <w:tcPr>
            <w:tcW w:w="1326" w:type="dxa"/>
            <w:tcBorders>
              <w:top w:val="single" w:sz="2"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1C018A34" w14:textId="77777777" w:rsidR="002C4DD7" w:rsidRPr="00AE050F" w:rsidRDefault="002C4DD7" w:rsidP="00B15FBD">
            <w:pPr>
              <w:ind w:firstLine="142"/>
              <w:jc w:val="center"/>
              <w:rPr>
                <w:rFonts w:ascii="Calibri" w:hAnsi="Calibri"/>
                <w:b/>
                <w:bCs/>
                <w:color w:val="000000"/>
                <w:sz w:val="22"/>
                <w:szCs w:val="22"/>
              </w:rPr>
            </w:pPr>
            <w:r w:rsidRPr="00AE050F">
              <w:rPr>
                <w:rFonts w:ascii="Calibri" w:hAnsi="Calibri"/>
                <w:b/>
                <w:bCs/>
                <w:color w:val="000000"/>
                <w:sz w:val="22"/>
                <w:szCs w:val="22"/>
              </w:rPr>
              <w:t>129,747</w:t>
            </w:r>
          </w:p>
        </w:tc>
        <w:tc>
          <w:tcPr>
            <w:tcW w:w="1385" w:type="dxa"/>
            <w:tcBorders>
              <w:top w:val="single" w:sz="2"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noWrap/>
            <w:vAlign w:val="bottom"/>
            <w:hideMark/>
          </w:tcPr>
          <w:p w14:paraId="021FA744" w14:textId="77777777" w:rsidR="002C4DD7" w:rsidRPr="00AE050F" w:rsidRDefault="002C4DD7" w:rsidP="00B15FBD">
            <w:pPr>
              <w:ind w:firstLine="142"/>
              <w:jc w:val="center"/>
              <w:rPr>
                <w:rFonts w:ascii="Calibri" w:hAnsi="Calibri"/>
                <w:color w:val="000000"/>
                <w:sz w:val="22"/>
                <w:szCs w:val="22"/>
              </w:rPr>
            </w:pPr>
          </w:p>
        </w:tc>
        <w:tc>
          <w:tcPr>
            <w:tcW w:w="1455" w:type="dxa"/>
            <w:tcBorders>
              <w:top w:val="single" w:sz="2"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13607BED" w14:textId="77777777" w:rsidR="002C4DD7" w:rsidRPr="00AE050F" w:rsidRDefault="002C4DD7" w:rsidP="00B15FBD">
            <w:pPr>
              <w:ind w:firstLine="142"/>
              <w:jc w:val="center"/>
              <w:rPr>
                <w:rFonts w:ascii="Calibri" w:hAnsi="Calibri"/>
                <w:b/>
                <w:bCs/>
                <w:color w:val="000000"/>
                <w:sz w:val="22"/>
                <w:szCs w:val="22"/>
              </w:rPr>
            </w:pPr>
          </w:p>
        </w:tc>
        <w:tc>
          <w:tcPr>
            <w:tcW w:w="2983" w:type="dxa"/>
            <w:tcBorders>
              <w:top w:val="single" w:sz="2" w:space="0" w:color="548DD4" w:themeColor="text2" w:themeTint="99"/>
              <w:left w:val="dashSmallGap" w:sz="4" w:space="0" w:color="548DD4" w:themeColor="text2" w:themeTint="99"/>
              <w:bottom w:val="dashSmallGap" w:sz="4" w:space="0" w:color="548DD4" w:themeColor="text2" w:themeTint="99"/>
              <w:right w:val="triple" w:sz="4" w:space="0" w:color="548DD4" w:themeColor="text2" w:themeTint="99"/>
            </w:tcBorders>
            <w:shd w:val="clear" w:color="auto" w:fill="auto"/>
            <w:vAlign w:val="center"/>
            <w:hideMark/>
          </w:tcPr>
          <w:p w14:paraId="777EEA9E" w14:textId="77777777" w:rsidR="002C4DD7" w:rsidRPr="00AE050F" w:rsidRDefault="002C4DD7" w:rsidP="00B15FBD">
            <w:pPr>
              <w:ind w:firstLine="142"/>
              <w:rPr>
                <w:rFonts w:ascii="Calibri" w:hAnsi="Calibri"/>
                <w:color w:val="000000"/>
                <w:sz w:val="22"/>
                <w:szCs w:val="22"/>
              </w:rPr>
            </w:pPr>
          </w:p>
        </w:tc>
      </w:tr>
      <w:tr w:rsidR="002C4DD7" w:rsidRPr="00AE050F" w14:paraId="72A7FEDF" w14:textId="77777777" w:rsidTr="003B44A8">
        <w:trPr>
          <w:trHeight w:val="732"/>
        </w:trPr>
        <w:tc>
          <w:tcPr>
            <w:tcW w:w="2561" w:type="dxa"/>
            <w:tcBorders>
              <w:top w:val="dashSmallGap" w:sz="4" w:space="0" w:color="548DD4" w:themeColor="text2" w:themeTint="99"/>
              <w:left w:val="triple"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05ABEBC3" w14:textId="77777777" w:rsidR="002C4DD7" w:rsidRPr="00AE050F" w:rsidRDefault="002C4DD7" w:rsidP="003B44A8">
            <w:pPr>
              <w:ind w:firstLineChars="4" w:firstLine="9"/>
              <w:rPr>
                <w:rFonts w:ascii="Calibri" w:hAnsi="Calibri"/>
                <w:color w:val="000000"/>
                <w:sz w:val="22"/>
                <w:szCs w:val="22"/>
              </w:rPr>
            </w:pPr>
            <w:r w:rsidRPr="00AE050F">
              <w:rPr>
                <w:rFonts w:ascii="Calibri" w:hAnsi="Calibri" w:cstheme="minorHAnsi"/>
                <w:color w:val="000000"/>
                <w:sz w:val="22"/>
                <w:szCs w:val="22"/>
              </w:rPr>
              <w:t>St James Centre</w:t>
            </w:r>
          </w:p>
        </w:tc>
        <w:tc>
          <w:tcPr>
            <w:tcW w:w="1326"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noWrap/>
            <w:vAlign w:val="bottom"/>
            <w:hideMark/>
          </w:tcPr>
          <w:p w14:paraId="2F805BBA" w14:textId="77777777" w:rsidR="002C4DD7" w:rsidRPr="00AE050F" w:rsidRDefault="002C4DD7" w:rsidP="00B15FBD">
            <w:pPr>
              <w:ind w:firstLine="142"/>
              <w:jc w:val="center"/>
              <w:rPr>
                <w:rFonts w:ascii="Calibri" w:hAnsi="Calibri"/>
                <w:color w:val="000000"/>
                <w:sz w:val="22"/>
                <w:szCs w:val="22"/>
              </w:rPr>
            </w:pPr>
          </w:p>
        </w:tc>
        <w:tc>
          <w:tcPr>
            <w:tcW w:w="138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6A4BB7C6" w14:textId="77777777" w:rsidR="002C4DD7" w:rsidRPr="00AE050F" w:rsidRDefault="002C4DD7" w:rsidP="00B15FBD">
            <w:pPr>
              <w:jc w:val="center"/>
              <w:rPr>
                <w:rFonts w:ascii="Calibri" w:hAnsi="Calibri"/>
                <w:color w:val="000000"/>
                <w:sz w:val="22"/>
                <w:szCs w:val="22"/>
              </w:rPr>
            </w:pPr>
            <w:r>
              <w:rPr>
                <w:rFonts w:ascii="Calibri" w:hAnsi="Calibri" w:cstheme="minorHAnsi"/>
                <w:color w:val="000000"/>
                <w:sz w:val="22"/>
                <w:szCs w:val="22"/>
              </w:rPr>
              <w:t>(41,800)</w:t>
            </w:r>
          </w:p>
        </w:tc>
        <w:tc>
          <w:tcPr>
            <w:tcW w:w="145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106EC447" w14:textId="77777777" w:rsidR="00572DB8" w:rsidRDefault="002C4DD7" w:rsidP="00572DB8">
            <w:pPr>
              <w:ind w:firstLine="142"/>
              <w:jc w:val="center"/>
              <w:rPr>
                <w:rFonts w:ascii="Calibri" w:hAnsi="Calibri" w:cstheme="minorHAnsi"/>
                <w:color w:val="000000"/>
                <w:sz w:val="22"/>
                <w:szCs w:val="22"/>
              </w:rPr>
            </w:pPr>
            <w:r w:rsidRPr="00AE050F">
              <w:rPr>
                <w:rFonts w:ascii="Calibri" w:hAnsi="Calibri" w:cstheme="minorHAnsi"/>
                <w:color w:val="000000"/>
                <w:sz w:val="22"/>
                <w:szCs w:val="22"/>
              </w:rPr>
              <w:t>1973</w:t>
            </w:r>
          </w:p>
          <w:p w14:paraId="75D61286" w14:textId="0150B650" w:rsidR="002C4DD7" w:rsidRPr="00572DB8" w:rsidRDefault="002C4DD7" w:rsidP="00572DB8">
            <w:pPr>
              <w:rPr>
                <w:rFonts w:ascii="Calibri" w:hAnsi="Calibri" w:cstheme="minorHAnsi"/>
                <w:color w:val="000000"/>
                <w:sz w:val="22"/>
                <w:szCs w:val="22"/>
              </w:rPr>
            </w:pPr>
            <w:r w:rsidRPr="00AE050F">
              <w:rPr>
                <w:rFonts w:ascii="Calibri" w:hAnsi="Calibri" w:cstheme="minorHAnsi"/>
                <w:color w:val="000000"/>
                <w:sz w:val="22"/>
                <w:szCs w:val="22"/>
              </w:rPr>
              <w:t>(closed 2016)</w:t>
            </w:r>
          </w:p>
        </w:tc>
        <w:tc>
          <w:tcPr>
            <w:tcW w:w="2983" w:type="dxa"/>
            <w:tcBorders>
              <w:top w:val="dashSmallGap" w:sz="4" w:space="0" w:color="548DD4" w:themeColor="text2" w:themeTint="99"/>
              <w:left w:val="dashSmallGap" w:sz="4" w:space="0" w:color="548DD4" w:themeColor="text2" w:themeTint="99"/>
              <w:bottom w:val="dashSmallGap" w:sz="4" w:space="0" w:color="548DD4" w:themeColor="text2" w:themeTint="99"/>
              <w:right w:val="triple" w:sz="4" w:space="0" w:color="548DD4" w:themeColor="text2" w:themeTint="99"/>
            </w:tcBorders>
            <w:shd w:val="clear" w:color="auto" w:fill="auto"/>
            <w:vAlign w:val="bottom"/>
            <w:hideMark/>
          </w:tcPr>
          <w:p w14:paraId="30919897" w14:textId="4CB243DC" w:rsidR="002C4DD7" w:rsidRDefault="002C4DD7" w:rsidP="00B15FBD">
            <w:pPr>
              <w:ind w:leftChars="-15" w:left="-1" w:hangingChars="16" w:hanging="35"/>
              <w:rPr>
                <w:rFonts w:ascii="Calibri" w:hAnsi="Calibri"/>
                <w:color w:val="000000"/>
                <w:sz w:val="22"/>
                <w:szCs w:val="22"/>
              </w:rPr>
            </w:pPr>
            <w:r w:rsidRPr="00AE050F">
              <w:rPr>
                <w:rFonts w:ascii="Calibri" w:hAnsi="Calibri"/>
                <w:color w:val="000000"/>
                <w:sz w:val="22"/>
                <w:szCs w:val="22"/>
              </w:rPr>
              <w:t>Redevelopment started 2016</w:t>
            </w:r>
            <w:r w:rsidR="00F56624">
              <w:rPr>
                <w:rFonts w:ascii="Calibri" w:hAnsi="Calibri"/>
                <w:color w:val="000000"/>
                <w:sz w:val="22"/>
                <w:szCs w:val="22"/>
              </w:rPr>
              <w:t xml:space="preserve">       </w:t>
            </w:r>
            <w:r w:rsidRPr="00AE050F">
              <w:rPr>
                <w:rFonts w:ascii="Calibri" w:hAnsi="Calibri"/>
                <w:color w:val="000000"/>
                <w:sz w:val="22"/>
                <w:szCs w:val="22"/>
              </w:rPr>
              <w:t xml:space="preserve">                          </w:t>
            </w:r>
          </w:p>
          <w:p w14:paraId="5C97A0B6" w14:textId="77777777" w:rsidR="002C4DD7" w:rsidRDefault="002C4DD7" w:rsidP="00B15FBD">
            <w:pPr>
              <w:ind w:leftChars="-15" w:left="-1" w:hangingChars="16" w:hanging="35"/>
              <w:rPr>
                <w:rFonts w:ascii="Calibri" w:hAnsi="Calibri"/>
                <w:color w:val="000000"/>
                <w:sz w:val="22"/>
                <w:szCs w:val="22"/>
              </w:rPr>
            </w:pPr>
            <w:r w:rsidRPr="00AE050F">
              <w:rPr>
                <w:rFonts w:ascii="Calibri" w:hAnsi="Calibri"/>
                <w:color w:val="000000"/>
                <w:sz w:val="22"/>
                <w:szCs w:val="22"/>
              </w:rPr>
              <w:t xml:space="preserve">Major Refurbishment 1997/8                                          </w:t>
            </w:r>
          </w:p>
          <w:p w14:paraId="3FFD4760" w14:textId="77777777" w:rsidR="002C4DD7" w:rsidRPr="00AE050F" w:rsidRDefault="002C4DD7" w:rsidP="00B15FBD">
            <w:pPr>
              <w:ind w:leftChars="-15" w:left="-1" w:hangingChars="16" w:hanging="35"/>
              <w:rPr>
                <w:rFonts w:ascii="Calibri" w:hAnsi="Calibri"/>
                <w:color w:val="000000"/>
                <w:sz w:val="22"/>
                <w:szCs w:val="22"/>
              </w:rPr>
            </w:pPr>
            <w:r w:rsidRPr="00AE050F">
              <w:rPr>
                <w:rFonts w:ascii="Calibri" w:hAnsi="Calibri"/>
                <w:color w:val="000000"/>
                <w:sz w:val="22"/>
                <w:szCs w:val="22"/>
              </w:rPr>
              <w:t xml:space="preserve">Extended 1990 </w:t>
            </w:r>
          </w:p>
        </w:tc>
      </w:tr>
      <w:tr w:rsidR="002C4DD7" w:rsidRPr="00AE050F" w14:paraId="7F02E6E3" w14:textId="77777777" w:rsidTr="003B44A8">
        <w:trPr>
          <w:trHeight w:val="320"/>
        </w:trPr>
        <w:tc>
          <w:tcPr>
            <w:tcW w:w="2561" w:type="dxa"/>
            <w:tcBorders>
              <w:top w:val="dashSmallGap" w:sz="4" w:space="0" w:color="548DD4" w:themeColor="text2" w:themeTint="99"/>
              <w:left w:val="triple"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31E9986A" w14:textId="77777777" w:rsidR="002C4DD7" w:rsidRPr="00AE050F" w:rsidRDefault="002C4DD7" w:rsidP="003B44A8">
            <w:pPr>
              <w:ind w:firstLineChars="4" w:firstLine="9"/>
              <w:rPr>
                <w:rFonts w:ascii="Calibri" w:hAnsi="Calibri"/>
                <w:color w:val="000000"/>
                <w:sz w:val="22"/>
                <w:szCs w:val="22"/>
              </w:rPr>
            </w:pPr>
            <w:r w:rsidRPr="00AE050F">
              <w:rPr>
                <w:rFonts w:ascii="Calibri" w:hAnsi="Calibri" w:cstheme="minorHAnsi"/>
                <w:color w:val="000000"/>
                <w:sz w:val="22"/>
                <w:szCs w:val="22"/>
              </w:rPr>
              <w:t xml:space="preserve">16-34 </w:t>
            </w:r>
            <w:proofErr w:type="spellStart"/>
            <w:r w:rsidRPr="00AE050F">
              <w:rPr>
                <w:rFonts w:ascii="Calibri" w:hAnsi="Calibri" w:cstheme="minorHAnsi"/>
                <w:color w:val="000000"/>
                <w:sz w:val="22"/>
                <w:szCs w:val="22"/>
              </w:rPr>
              <w:t>Multrees</w:t>
            </w:r>
            <w:proofErr w:type="spellEnd"/>
            <w:r w:rsidRPr="00AE050F">
              <w:rPr>
                <w:rFonts w:ascii="Calibri" w:hAnsi="Calibri" w:cstheme="minorHAnsi"/>
                <w:color w:val="000000"/>
                <w:sz w:val="22"/>
                <w:szCs w:val="22"/>
              </w:rPr>
              <w:t xml:space="preserve"> Walk</w:t>
            </w:r>
          </w:p>
        </w:tc>
        <w:tc>
          <w:tcPr>
            <w:tcW w:w="1326"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noWrap/>
            <w:vAlign w:val="bottom"/>
            <w:hideMark/>
          </w:tcPr>
          <w:p w14:paraId="6988E775" w14:textId="77777777" w:rsidR="002C4DD7" w:rsidRPr="00AE050F" w:rsidRDefault="002C4DD7" w:rsidP="00B15FBD">
            <w:pPr>
              <w:ind w:firstLine="142"/>
              <w:jc w:val="center"/>
              <w:rPr>
                <w:rFonts w:ascii="Calibri" w:hAnsi="Calibri"/>
                <w:color w:val="000000"/>
                <w:sz w:val="22"/>
                <w:szCs w:val="22"/>
              </w:rPr>
            </w:pPr>
          </w:p>
        </w:tc>
        <w:tc>
          <w:tcPr>
            <w:tcW w:w="138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4424623F"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20,253</w:t>
            </w:r>
          </w:p>
        </w:tc>
        <w:tc>
          <w:tcPr>
            <w:tcW w:w="145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42D9F68F"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2002</w:t>
            </w:r>
          </w:p>
        </w:tc>
        <w:tc>
          <w:tcPr>
            <w:tcW w:w="2983" w:type="dxa"/>
            <w:tcBorders>
              <w:top w:val="dashSmallGap" w:sz="4" w:space="0" w:color="548DD4" w:themeColor="text2" w:themeTint="99"/>
              <w:left w:val="dashSmallGap" w:sz="4" w:space="0" w:color="548DD4" w:themeColor="text2" w:themeTint="99"/>
              <w:bottom w:val="dashSmallGap" w:sz="4" w:space="0" w:color="548DD4" w:themeColor="text2" w:themeTint="99"/>
              <w:right w:val="triple" w:sz="4" w:space="0" w:color="548DD4" w:themeColor="text2" w:themeTint="99"/>
            </w:tcBorders>
            <w:shd w:val="clear" w:color="auto" w:fill="auto"/>
            <w:noWrap/>
            <w:vAlign w:val="bottom"/>
            <w:hideMark/>
          </w:tcPr>
          <w:p w14:paraId="3ED4A677" w14:textId="77777777" w:rsidR="002C4DD7" w:rsidRPr="00AE050F" w:rsidRDefault="002C4DD7" w:rsidP="00B15FBD">
            <w:pPr>
              <w:ind w:leftChars="-15" w:left="-1" w:hangingChars="16" w:hanging="35"/>
              <w:rPr>
                <w:rFonts w:ascii="Calibri" w:hAnsi="Calibri"/>
                <w:color w:val="000000"/>
                <w:sz w:val="22"/>
                <w:szCs w:val="22"/>
              </w:rPr>
            </w:pPr>
          </w:p>
        </w:tc>
      </w:tr>
      <w:tr w:rsidR="002C4DD7" w:rsidRPr="00AE050F" w14:paraId="698CB2DC" w14:textId="77777777" w:rsidTr="003B44A8">
        <w:trPr>
          <w:trHeight w:val="876"/>
        </w:trPr>
        <w:tc>
          <w:tcPr>
            <w:tcW w:w="2561" w:type="dxa"/>
            <w:tcBorders>
              <w:top w:val="dashSmallGap" w:sz="4" w:space="0" w:color="548DD4" w:themeColor="text2" w:themeTint="99"/>
              <w:left w:val="triple" w:sz="4" w:space="0" w:color="548DD4" w:themeColor="text2" w:themeTint="99"/>
              <w:bottom w:val="single" w:sz="2" w:space="0" w:color="548DD4" w:themeColor="text2" w:themeTint="99"/>
              <w:right w:val="dashSmallGap" w:sz="4" w:space="0" w:color="548DD4" w:themeColor="text2" w:themeTint="99"/>
            </w:tcBorders>
            <w:shd w:val="clear" w:color="auto" w:fill="auto"/>
            <w:vAlign w:val="center"/>
            <w:hideMark/>
          </w:tcPr>
          <w:p w14:paraId="2D60937E" w14:textId="77777777" w:rsidR="002C4DD7" w:rsidRPr="00AE050F" w:rsidRDefault="002C4DD7" w:rsidP="003B44A8">
            <w:pPr>
              <w:ind w:firstLineChars="4" w:firstLine="9"/>
              <w:rPr>
                <w:rFonts w:ascii="Calibri" w:hAnsi="Calibri"/>
                <w:color w:val="000000"/>
                <w:sz w:val="22"/>
                <w:szCs w:val="22"/>
              </w:rPr>
            </w:pPr>
            <w:r w:rsidRPr="00AE050F">
              <w:rPr>
                <w:rFonts w:ascii="Calibri" w:hAnsi="Calibri" w:cstheme="minorHAnsi"/>
                <w:color w:val="000000"/>
                <w:sz w:val="22"/>
                <w:szCs w:val="22"/>
              </w:rPr>
              <w:t>Waverley Mall</w:t>
            </w:r>
          </w:p>
        </w:tc>
        <w:tc>
          <w:tcPr>
            <w:tcW w:w="1326" w:type="dxa"/>
            <w:tcBorders>
              <w:top w:val="dashSmallGap" w:sz="4" w:space="0" w:color="548DD4" w:themeColor="text2" w:themeTint="99"/>
              <w:left w:val="dashSmallGap" w:sz="4" w:space="0" w:color="548DD4" w:themeColor="text2" w:themeTint="99"/>
              <w:bottom w:val="single" w:sz="2" w:space="0" w:color="548DD4" w:themeColor="text2" w:themeTint="99"/>
              <w:right w:val="dashSmallGap" w:sz="4" w:space="0" w:color="548DD4" w:themeColor="text2" w:themeTint="99"/>
            </w:tcBorders>
            <w:shd w:val="clear" w:color="auto" w:fill="auto"/>
            <w:noWrap/>
            <w:vAlign w:val="bottom"/>
            <w:hideMark/>
          </w:tcPr>
          <w:p w14:paraId="6D071A85" w14:textId="77777777" w:rsidR="002C4DD7" w:rsidRPr="00AE050F" w:rsidRDefault="002C4DD7" w:rsidP="00B15FBD">
            <w:pPr>
              <w:ind w:firstLine="142"/>
              <w:jc w:val="center"/>
              <w:rPr>
                <w:rFonts w:ascii="Calibri" w:hAnsi="Calibri"/>
                <w:color w:val="000000"/>
                <w:sz w:val="22"/>
                <w:szCs w:val="22"/>
              </w:rPr>
            </w:pPr>
          </w:p>
        </w:tc>
        <w:tc>
          <w:tcPr>
            <w:tcW w:w="1385" w:type="dxa"/>
            <w:tcBorders>
              <w:top w:val="dashSmallGap" w:sz="4" w:space="0" w:color="548DD4" w:themeColor="text2" w:themeTint="99"/>
              <w:left w:val="dashSmallGap" w:sz="4" w:space="0" w:color="548DD4" w:themeColor="text2" w:themeTint="99"/>
              <w:bottom w:val="single" w:sz="2" w:space="0" w:color="548DD4" w:themeColor="text2" w:themeTint="99"/>
              <w:right w:val="dashSmallGap" w:sz="4" w:space="0" w:color="548DD4" w:themeColor="text2" w:themeTint="99"/>
            </w:tcBorders>
            <w:shd w:val="clear" w:color="auto" w:fill="auto"/>
            <w:vAlign w:val="center"/>
            <w:hideMark/>
          </w:tcPr>
          <w:p w14:paraId="449140AD"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8,000</w:t>
            </w:r>
          </w:p>
        </w:tc>
        <w:tc>
          <w:tcPr>
            <w:tcW w:w="1455" w:type="dxa"/>
            <w:tcBorders>
              <w:top w:val="dashSmallGap" w:sz="4" w:space="0" w:color="548DD4" w:themeColor="text2" w:themeTint="99"/>
              <w:left w:val="dashSmallGap" w:sz="4" w:space="0" w:color="548DD4" w:themeColor="text2" w:themeTint="99"/>
              <w:bottom w:val="single" w:sz="2" w:space="0" w:color="548DD4" w:themeColor="text2" w:themeTint="99"/>
              <w:right w:val="dashSmallGap" w:sz="4" w:space="0" w:color="548DD4" w:themeColor="text2" w:themeTint="99"/>
            </w:tcBorders>
            <w:shd w:val="clear" w:color="auto" w:fill="auto"/>
            <w:vAlign w:val="center"/>
            <w:hideMark/>
          </w:tcPr>
          <w:p w14:paraId="136AF71B"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1984</w:t>
            </w:r>
          </w:p>
        </w:tc>
        <w:tc>
          <w:tcPr>
            <w:tcW w:w="2983" w:type="dxa"/>
            <w:tcBorders>
              <w:top w:val="dashSmallGap" w:sz="4" w:space="0" w:color="548DD4" w:themeColor="text2" w:themeTint="99"/>
              <w:left w:val="dashSmallGap" w:sz="4" w:space="0" w:color="548DD4" w:themeColor="text2" w:themeTint="99"/>
              <w:bottom w:val="single" w:sz="2" w:space="0" w:color="548DD4" w:themeColor="text2" w:themeTint="99"/>
              <w:right w:val="triple" w:sz="4" w:space="0" w:color="548DD4" w:themeColor="text2" w:themeTint="99"/>
            </w:tcBorders>
            <w:shd w:val="clear" w:color="auto" w:fill="auto"/>
            <w:vAlign w:val="bottom"/>
            <w:hideMark/>
          </w:tcPr>
          <w:p w14:paraId="09967A83" w14:textId="605DE601" w:rsidR="002C4DD7" w:rsidRDefault="002C4DD7" w:rsidP="00B15FBD">
            <w:pPr>
              <w:ind w:leftChars="-15" w:left="-1" w:hangingChars="16" w:hanging="35"/>
              <w:rPr>
                <w:rFonts w:ascii="Calibri" w:hAnsi="Calibri"/>
                <w:color w:val="000000"/>
                <w:sz w:val="22"/>
                <w:szCs w:val="22"/>
              </w:rPr>
            </w:pPr>
            <w:r w:rsidRPr="00AE050F">
              <w:rPr>
                <w:rFonts w:ascii="Calibri" w:hAnsi="Calibri"/>
                <w:color w:val="000000"/>
                <w:sz w:val="22"/>
                <w:szCs w:val="22"/>
              </w:rPr>
              <w:t xml:space="preserve">Refurbished </w:t>
            </w:r>
            <w:r>
              <w:rPr>
                <w:rFonts w:ascii="Calibri" w:hAnsi="Calibri"/>
                <w:color w:val="000000"/>
                <w:sz w:val="22"/>
                <w:szCs w:val="22"/>
              </w:rPr>
              <w:t>&amp;</w:t>
            </w:r>
            <w:r w:rsidRPr="00AE050F">
              <w:rPr>
                <w:rFonts w:ascii="Calibri" w:hAnsi="Calibri"/>
                <w:color w:val="000000"/>
                <w:sz w:val="22"/>
                <w:szCs w:val="22"/>
              </w:rPr>
              <w:t xml:space="preserve"> extended 2020 to 9,400sqm                                              </w:t>
            </w:r>
          </w:p>
          <w:p w14:paraId="6CE6B3CD" w14:textId="77777777" w:rsidR="002C4DD7" w:rsidRPr="00AE050F" w:rsidRDefault="002C4DD7" w:rsidP="00B15FBD">
            <w:pPr>
              <w:ind w:leftChars="-15" w:left="-1" w:hangingChars="16" w:hanging="35"/>
              <w:rPr>
                <w:rFonts w:ascii="Calibri" w:hAnsi="Calibri"/>
                <w:color w:val="000000"/>
                <w:sz w:val="22"/>
                <w:szCs w:val="22"/>
              </w:rPr>
            </w:pPr>
            <w:r w:rsidRPr="00AE050F">
              <w:rPr>
                <w:rFonts w:ascii="Calibri" w:hAnsi="Calibri"/>
                <w:color w:val="000000"/>
                <w:sz w:val="22"/>
                <w:szCs w:val="22"/>
              </w:rPr>
              <w:t xml:space="preserve">Refurbishment 1992 </w:t>
            </w:r>
          </w:p>
        </w:tc>
      </w:tr>
      <w:tr w:rsidR="002C4DD7" w:rsidRPr="00AE050F" w14:paraId="1052F5BB" w14:textId="77777777" w:rsidTr="003B44A8">
        <w:trPr>
          <w:trHeight w:val="398"/>
        </w:trPr>
        <w:tc>
          <w:tcPr>
            <w:tcW w:w="2561" w:type="dxa"/>
            <w:tcBorders>
              <w:top w:val="single" w:sz="2" w:space="0" w:color="548DD4" w:themeColor="text2" w:themeTint="99"/>
              <w:left w:val="triple" w:sz="4" w:space="0" w:color="548DD4" w:themeColor="text2" w:themeTint="99"/>
              <w:bottom w:val="triple" w:sz="4" w:space="0" w:color="548DD4" w:themeColor="text2" w:themeTint="99"/>
              <w:right w:val="dashSmallGap" w:sz="4" w:space="0" w:color="548DD4" w:themeColor="text2" w:themeTint="99"/>
            </w:tcBorders>
            <w:shd w:val="clear" w:color="auto" w:fill="auto"/>
            <w:vAlign w:val="center"/>
            <w:hideMark/>
          </w:tcPr>
          <w:p w14:paraId="55B697A2" w14:textId="57C53B92" w:rsidR="002C4DD7" w:rsidRPr="00AE050F" w:rsidRDefault="003B44A8" w:rsidP="003B44A8">
            <w:pPr>
              <w:ind w:firstLineChars="4" w:firstLine="9"/>
              <w:rPr>
                <w:rFonts w:ascii="Calibri" w:hAnsi="Calibri"/>
                <w:b/>
                <w:bCs/>
                <w:i/>
                <w:iCs/>
                <w:color w:val="000000"/>
                <w:sz w:val="22"/>
                <w:szCs w:val="22"/>
              </w:rPr>
            </w:pPr>
            <w:r>
              <w:rPr>
                <w:rFonts w:ascii="Calibri" w:hAnsi="Calibri"/>
                <w:b/>
                <w:bCs/>
                <w:i/>
                <w:iCs/>
                <w:color w:val="000000"/>
                <w:sz w:val="22"/>
                <w:szCs w:val="22"/>
              </w:rPr>
              <w:t xml:space="preserve">Est. </w:t>
            </w:r>
            <w:r w:rsidR="002C4DD7" w:rsidRPr="00AE050F">
              <w:rPr>
                <w:rFonts w:ascii="Calibri" w:hAnsi="Calibri"/>
                <w:b/>
                <w:bCs/>
                <w:i/>
                <w:iCs/>
                <w:color w:val="000000"/>
                <w:sz w:val="22"/>
                <w:szCs w:val="22"/>
              </w:rPr>
              <w:t xml:space="preserve">Total </w:t>
            </w:r>
            <w:r>
              <w:rPr>
                <w:rFonts w:ascii="Calibri" w:hAnsi="Calibri"/>
                <w:b/>
                <w:bCs/>
                <w:i/>
                <w:iCs/>
                <w:color w:val="000000"/>
                <w:sz w:val="22"/>
                <w:szCs w:val="22"/>
              </w:rPr>
              <w:t>Floorspace</w:t>
            </w:r>
          </w:p>
        </w:tc>
        <w:tc>
          <w:tcPr>
            <w:tcW w:w="1326" w:type="dxa"/>
            <w:tcBorders>
              <w:top w:val="single" w:sz="2" w:space="0" w:color="548DD4" w:themeColor="text2" w:themeTint="99"/>
              <w:left w:val="dashSmallGap" w:sz="4" w:space="0" w:color="548DD4" w:themeColor="text2" w:themeTint="99"/>
              <w:bottom w:val="triple" w:sz="4" w:space="0" w:color="548DD4" w:themeColor="text2" w:themeTint="99"/>
              <w:right w:val="dashSmallGap" w:sz="4" w:space="0" w:color="548DD4" w:themeColor="text2" w:themeTint="99"/>
            </w:tcBorders>
            <w:shd w:val="clear" w:color="auto" w:fill="auto"/>
            <w:vAlign w:val="center"/>
            <w:hideMark/>
          </w:tcPr>
          <w:p w14:paraId="58E40967" w14:textId="77777777" w:rsidR="002C4DD7" w:rsidRPr="00AE050F" w:rsidRDefault="002C4DD7" w:rsidP="00B15FBD">
            <w:pPr>
              <w:ind w:firstLine="142"/>
              <w:jc w:val="center"/>
              <w:rPr>
                <w:rFonts w:ascii="Calibri" w:hAnsi="Calibri"/>
                <w:b/>
                <w:bCs/>
                <w:color w:val="000000"/>
                <w:sz w:val="22"/>
                <w:szCs w:val="22"/>
              </w:rPr>
            </w:pPr>
            <w:r w:rsidRPr="00AE050F">
              <w:rPr>
                <w:rFonts w:ascii="Calibri" w:hAnsi="Calibri"/>
                <w:b/>
                <w:bCs/>
                <w:color w:val="000000"/>
                <w:sz w:val="22"/>
                <w:szCs w:val="22"/>
              </w:rPr>
              <w:t>158,000</w:t>
            </w:r>
          </w:p>
        </w:tc>
        <w:tc>
          <w:tcPr>
            <w:tcW w:w="1385" w:type="dxa"/>
            <w:tcBorders>
              <w:top w:val="single" w:sz="2" w:space="0" w:color="548DD4" w:themeColor="text2" w:themeTint="99"/>
              <w:left w:val="dashSmallGap" w:sz="4" w:space="0" w:color="548DD4" w:themeColor="text2" w:themeTint="99"/>
              <w:bottom w:val="triple" w:sz="4" w:space="0" w:color="548DD4" w:themeColor="text2" w:themeTint="99"/>
              <w:right w:val="dashSmallGap" w:sz="4" w:space="0" w:color="548DD4" w:themeColor="text2" w:themeTint="99"/>
            </w:tcBorders>
            <w:shd w:val="clear" w:color="auto" w:fill="auto"/>
            <w:noWrap/>
            <w:vAlign w:val="bottom"/>
            <w:hideMark/>
          </w:tcPr>
          <w:p w14:paraId="3F498F4E" w14:textId="77777777" w:rsidR="002C4DD7" w:rsidRPr="00AE050F" w:rsidRDefault="002C4DD7" w:rsidP="00B15FBD">
            <w:pPr>
              <w:ind w:firstLine="142"/>
              <w:jc w:val="center"/>
              <w:rPr>
                <w:rFonts w:ascii="Calibri" w:hAnsi="Calibri"/>
                <w:color w:val="000000"/>
                <w:sz w:val="22"/>
                <w:szCs w:val="22"/>
              </w:rPr>
            </w:pPr>
          </w:p>
        </w:tc>
        <w:tc>
          <w:tcPr>
            <w:tcW w:w="1455" w:type="dxa"/>
            <w:tcBorders>
              <w:top w:val="single" w:sz="2" w:space="0" w:color="548DD4" w:themeColor="text2" w:themeTint="99"/>
              <w:left w:val="dashSmallGap" w:sz="4" w:space="0" w:color="548DD4" w:themeColor="text2" w:themeTint="99"/>
              <w:bottom w:val="triple" w:sz="4" w:space="0" w:color="548DD4" w:themeColor="text2" w:themeTint="99"/>
              <w:right w:val="dashSmallGap" w:sz="4" w:space="0" w:color="548DD4" w:themeColor="text2" w:themeTint="99"/>
            </w:tcBorders>
            <w:shd w:val="clear" w:color="auto" w:fill="auto"/>
            <w:vAlign w:val="center"/>
            <w:hideMark/>
          </w:tcPr>
          <w:p w14:paraId="040B89D8" w14:textId="77777777" w:rsidR="002C4DD7" w:rsidRPr="00AE050F" w:rsidRDefault="002C4DD7" w:rsidP="00B15FBD">
            <w:pPr>
              <w:ind w:firstLine="142"/>
              <w:jc w:val="center"/>
              <w:rPr>
                <w:rFonts w:ascii="Calibri" w:hAnsi="Calibri"/>
                <w:color w:val="000000"/>
                <w:sz w:val="22"/>
                <w:szCs w:val="22"/>
              </w:rPr>
            </w:pPr>
          </w:p>
        </w:tc>
        <w:tc>
          <w:tcPr>
            <w:tcW w:w="2983" w:type="dxa"/>
            <w:tcBorders>
              <w:top w:val="single" w:sz="2" w:space="0" w:color="548DD4" w:themeColor="text2" w:themeTint="99"/>
              <w:left w:val="dashSmallGap" w:sz="4" w:space="0" w:color="548DD4" w:themeColor="text2" w:themeTint="99"/>
              <w:bottom w:val="triple" w:sz="4" w:space="0" w:color="548DD4" w:themeColor="text2" w:themeTint="99"/>
              <w:right w:val="triple" w:sz="4" w:space="0" w:color="548DD4" w:themeColor="text2" w:themeTint="99"/>
            </w:tcBorders>
            <w:shd w:val="clear" w:color="auto" w:fill="auto"/>
            <w:vAlign w:val="center"/>
            <w:hideMark/>
          </w:tcPr>
          <w:p w14:paraId="49B3C32A" w14:textId="77777777" w:rsidR="002C4DD7" w:rsidRPr="00AE050F" w:rsidRDefault="002C4DD7" w:rsidP="00B15FBD">
            <w:pPr>
              <w:ind w:leftChars="-15" w:left="-1" w:hangingChars="16" w:hanging="35"/>
              <w:rPr>
                <w:rFonts w:ascii="Calibri" w:hAnsi="Calibri"/>
                <w:color w:val="000000"/>
                <w:sz w:val="22"/>
                <w:szCs w:val="22"/>
              </w:rPr>
            </w:pPr>
          </w:p>
        </w:tc>
      </w:tr>
    </w:tbl>
    <w:p w14:paraId="784FCE56" w14:textId="23BA6174" w:rsidR="00D520EF" w:rsidRPr="00F46539" w:rsidRDefault="00D520EF" w:rsidP="00ED3685">
      <w:pPr>
        <w:spacing w:line="360" w:lineRule="auto"/>
        <w:rPr>
          <w:rFonts w:asciiTheme="minorHAnsi" w:eastAsiaTheme="minorHAnsi" w:hAnsiTheme="minorHAnsi" w:cstheme="minorHAnsi"/>
          <w:sz w:val="20"/>
          <w:szCs w:val="20"/>
        </w:rPr>
      </w:pPr>
      <w:r w:rsidRPr="00F46539">
        <w:rPr>
          <w:rFonts w:asciiTheme="minorHAnsi" w:eastAsiaTheme="minorHAnsi" w:hAnsiTheme="minorHAnsi" w:cstheme="minorHAnsi"/>
          <w:sz w:val="20"/>
          <w:szCs w:val="20"/>
        </w:rPr>
        <w:t>Source: Compiled from CoStar, Completely Retail</w:t>
      </w:r>
      <w:r w:rsidR="00F46539">
        <w:rPr>
          <w:rFonts w:asciiTheme="minorHAnsi" w:eastAsiaTheme="minorHAnsi" w:hAnsiTheme="minorHAnsi" w:cstheme="minorHAnsi"/>
          <w:sz w:val="20"/>
          <w:szCs w:val="20"/>
        </w:rPr>
        <w:t>,</w:t>
      </w:r>
      <w:r w:rsidRPr="00F46539">
        <w:rPr>
          <w:rFonts w:asciiTheme="minorHAnsi" w:eastAsiaTheme="minorHAnsi" w:hAnsiTheme="minorHAnsi" w:cstheme="minorHAnsi"/>
          <w:sz w:val="20"/>
          <w:szCs w:val="20"/>
        </w:rPr>
        <w:t xml:space="preserve"> PMA (2020</w:t>
      </w:r>
      <w:r w:rsidR="00EB727F">
        <w:rPr>
          <w:rFonts w:asciiTheme="minorHAnsi" w:eastAsiaTheme="minorHAnsi" w:hAnsiTheme="minorHAnsi" w:cstheme="minorHAnsi"/>
          <w:sz w:val="20"/>
          <w:szCs w:val="20"/>
        </w:rPr>
        <w:t>a</w:t>
      </w:r>
      <w:r w:rsidRPr="00F46539">
        <w:rPr>
          <w:rFonts w:asciiTheme="minorHAnsi" w:eastAsiaTheme="minorHAnsi" w:hAnsiTheme="minorHAnsi" w:cstheme="minorHAnsi"/>
          <w:sz w:val="20"/>
          <w:szCs w:val="20"/>
        </w:rPr>
        <w:t>)</w:t>
      </w:r>
      <w:r w:rsidR="00F46539">
        <w:rPr>
          <w:rFonts w:asciiTheme="minorHAnsi" w:eastAsiaTheme="minorHAnsi" w:hAnsiTheme="minorHAnsi" w:cstheme="minorHAnsi"/>
          <w:sz w:val="20"/>
          <w:szCs w:val="20"/>
        </w:rPr>
        <w:t>.</w:t>
      </w:r>
    </w:p>
    <w:p w14:paraId="01D7DCF7" w14:textId="7540BC72" w:rsidR="00221750" w:rsidRPr="002C1A24" w:rsidRDefault="00221750" w:rsidP="00221750">
      <w:pPr>
        <w:pStyle w:val="NormalWeb"/>
        <w:shd w:val="clear" w:color="auto" w:fill="FFFFFF"/>
        <w:spacing w:line="360" w:lineRule="auto"/>
        <w:jc w:val="both"/>
        <w:rPr>
          <w:rFonts w:asciiTheme="minorHAnsi" w:eastAsiaTheme="minorHAnsi" w:hAnsiTheme="minorHAnsi" w:cstheme="minorHAnsi"/>
        </w:rPr>
      </w:pPr>
      <w:r w:rsidRPr="002C1A24">
        <w:rPr>
          <w:rFonts w:asciiTheme="minorHAnsi" w:eastAsiaTheme="minorHAnsi" w:hAnsiTheme="minorHAnsi" w:cstheme="minorHAnsi"/>
        </w:rPr>
        <w:t xml:space="preserve">Edinburgh is a compact city with around 513,000 residents in 2017. Having grown by 12.5% between 2007 and 2017, the city now has a population density of </w:t>
      </w:r>
      <w:r w:rsidRPr="002C1A24">
        <w:rPr>
          <w:rFonts w:asciiTheme="minorHAnsi" w:hAnsiTheme="minorHAnsi"/>
        </w:rPr>
        <w:t xml:space="preserve">1,950 residents per square </w:t>
      </w:r>
      <w:r w:rsidRPr="002C1A24">
        <w:rPr>
          <w:rFonts w:asciiTheme="minorHAnsi" w:hAnsiTheme="minorHAnsi"/>
        </w:rPr>
        <w:lastRenderedPageBreak/>
        <w:t xml:space="preserve">kilometre </w:t>
      </w:r>
      <w:r>
        <w:rPr>
          <w:rFonts w:asciiTheme="minorHAnsi" w:hAnsiTheme="minorHAnsi"/>
        </w:rPr>
        <w:t>and</w:t>
      </w:r>
      <w:r w:rsidRPr="002C1A24">
        <w:rPr>
          <w:rFonts w:asciiTheme="minorHAnsi" w:hAnsiTheme="minorHAnsi"/>
        </w:rPr>
        <w:t xml:space="preserve"> is more than half the population density in Liverpool and Nottingham which have amongst the highest densities in UK major cities outside London. </w:t>
      </w:r>
      <w:r w:rsidRPr="002C1A24">
        <w:rPr>
          <w:rFonts w:asciiTheme="minorHAnsi" w:eastAsiaTheme="minorHAnsi" w:hAnsiTheme="minorHAnsi" w:cstheme="minorHAnsi"/>
        </w:rPr>
        <w:t>31,600 residents live within the city centre (The City of Edinburgh, 2018).</w:t>
      </w:r>
      <w:r w:rsidR="00F56624">
        <w:rPr>
          <w:rFonts w:asciiTheme="minorHAnsi" w:eastAsiaTheme="minorHAnsi" w:hAnsiTheme="minorHAnsi" w:cstheme="minorHAnsi"/>
        </w:rPr>
        <w:t xml:space="preserve"> </w:t>
      </w:r>
      <w:r w:rsidRPr="002C1A24">
        <w:rPr>
          <w:rFonts w:asciiTheme="minorHAnsi" w:eastAsiaTheme="minorHAnsi" w:hAnsiTheme="minorHAnsi" w:cstheme="minorHAnsi"/>
        </w:rPr>
        <w:t xml:space="preserve">In addition, it is a relative affluent city with </w:t>
      </w:r>
      <w:r w:rsidRPr="002C1A24">
        <w:rPr>
          <w:rFonts w:asciiTheme="minorHAnsi" w:hAnsiTheme="minorHAnsi" w:cs="Arial"/>
          <w:color w:val="202122"/>
          <w:shd w:val="clear" w:color="auto" w:fill="FFFFFF"/>
        </w:rPr>
        <w:t>the second-highest gross disposable income outside London, the lowest rate of unemployment of all the major UK cities and gross value added (GVA) at an average of £44,200 per resident (The City of Edinburgh, 2019)</w:t>
      </w:r>
      <w:r w:rsidRPr="002C1A24">
        <w:rPr>
          <w:rFonts w:asciiTheme="minorHAnsi" w:eastAsiaTheme="minorHAnsi" w:hAnsiTheme="minorHAnsi" w:cstheme="minorHAnsi"/>
        </w:rPr>
        <w:t>.</w:t>
      </w:r>
    </w:p>
    <w:p w14:paraId="25F94CC7" w14:textId="301CF2DE" w:rsidR="0032572F" w:rsidRDefault="009803F9" w:rsidP="0032572F">
      <w:pPr>
        <w:pStyle w:val="NoSpacing"/>
        <w:spacing w:line="360" w:lineRule="auto"/>
        <w:jc w:val="both"/>
        <w:rPr>
          <w:rFonts w:cstheme="minorHAnsi"/>
        </w:rPr>
      </w:pPr>
      <w:r>
        <w:rPr>
          <w:rFonts w:cstheme="minorHAnsi"/>
          <w:sz w:val="24"/>
          <w:szCs w:val="24"/>
        </w:rPr>
        <w:t>The city</w:t>
      </w:r>
      <w:r w:rsidR="00C40C05" w:rsidRPr="002C1A24">
        <w:rPr>
          <w:rFonts w:cstheme="minorHAnsi"/>
          <w:sz w:val="24"/>
          <w:szCs w:val="24"/>
        </w:rPr>
        <w:t xml:space="preserve"> is the administrative capital of Scotland</w:t>
      </w:r>
      <w:r w:rsidR="00C804BA" w:rsidRPr="002C1A24">
        <w:rPr>
          <w:rFonts w:cstheme="minorHAnsi"/>
          <w:sz w:val="24"/>
          <w:szCs w:val="24"/>
        </w:rPr>
        <w:t xml:space="preserve"> where the </w:t>
      </w:r>
      <w:r w:rsidR="00E65F3B" w:rsidRPr="002C1A24">
        <w:rPr>
          <w:rFonts w:cstheme="minorHAnsi"/>
          <w:sz w:val="24"/>
          <w:szCs w:val="24"/>
        </w:rPr>
        <w:t>S</w:t>
      </w:r>
      <w:r w:rsidR="00C804BA" w:rsidRPr="002C1A24">
        <w:rPr>
          <w:rFonts w:cstheme="minorHAnsi"/>
          <w:sz w:val="24"/>
          <w:szCs w:val="24"/>
        </w:rPr>
        <w:t>co</w:t>
      </w:r>
      <w:r w:rsidR="00E65F3B" w:rsidRPr="002C1A24">
        <w:rPr>
          <w:rFonts w:cstheme="minorHAnsi"/>
          <w:sz w:val="24"/>
          <w:szCs w:val="24"/>
        </w:rPr>
        <w:t>ttish Government</w:t>
      </w:r>
      <w:r w:rsidR="00AB50F9" w:rsidRPr="002C1A24">
        <w:rPr>
          <w:rFonts w:cstheme="minorHAnsi"/>
          <w:sz w:val="24"/>
          <w:szCs w:val="24"/>
        </w:rPr>
        <w:t xml:space="preserve">, </w:t>
      </w:r>
      <w:r w:rsidR="00E65F3B" w:rsidRPr="002C1A24">
        <w:rPr>
          <w:rFonts w:cstheme="minorHAnsi"/>
          <w:sz w:val="24"/>
          <w:szCs w:val="24"/>
        </w:rPr>
        <w:t>Scottish Parliament</w:t>
      </w:r>
      <w:r w:rsidR="00AB50F9" w:rsidRPr="002C1A24">
        <w:rPr>
          <w:rFonts w:cstheme="minorHAnsi"/>
          <w:sz w:val="24"/>
          <w:szCs w:val="24"/>
        </w:rPr>
        <w:t xml:space="preserve"> and supreme criminal court </w:t>
      </w:r>
      <w:r w:rsidR="00C804BA" w:rsidRPr="002C1A24">
        <w:rPr>
          <w:rFonts w:cstheme="minorHAnsi"/>
          <w:sz w:val="24"/>
          <w:szCs w:val="24"/>
        </w:rPr>
        <w:t>are situated</w:t>
      </w:r>
      <w:r w:rsidR="00AF1D14" w:rsidRPr="002C1A24">
        <w:rPr>
          <w:rFonts w:cstheme="minorHAnsi"/>
          <w:sz w:val="24"/>
          <w:szCs w:val="24"/>
        </w:rPr>
        <w:t xml:space="preserve">, reflecting the </w:t>
      </w:r>
      <w:r w:rsidR="00260B2D" w:rsidRPr="002C1A24">
        <w:rPr>
          <w:rFonts w:cstheme="minorHAnsi"/>
          <w:sz w:val="24"/>
          <w:szCs w:val="24"/>
        </w:rPr>
        <w:t>23% of GVA generated in the city</w:t>
      </w:r>
      <w:r w:rsidR="00AF1D14" w:rsidRPr="002C1A24">
        <w:rPr>
          <w:rFonts w:cstheme="minorHAnsi"/>
          <w:sz w:val="24"/>
          <w:szCs w:val="24"/>
        </w:rPr>
        <w:t xml:space="preserve"> by public administration, health and education</w:t>
      </w:r>
      <w:r w:rsidR="00AC51AD" w:rsidRPr="002C1A24">
        <w:rPr>
          <w:rFonts w:cstheme="minorHAnsi"/>
          <w:sz w:val="24"/>
          <w:szCs w:val="24"/>
        </w:rPr>
        <w:t xml:space="preserve"> </w:t>
      </w:r>
      <w:r w:rsidR="00AC51AD" w:rsidRPr="002C1A24">
        <w:rPr>
          <w:sz w:val="24"/>
          <w:szCs w:val="24"/>
        </w:rPr>
        <w:t>(ONS, 2019).</w:t>
      </w:r>
      <w:r w:rsidR="00AF1D14" w:rsidRPr="002C1A24">
        <w:rPr>
          <w:rFonts w:cstheme="minorHAnsi"/>
          <w:sz w:val="24"/>
          <w:szCs w:val="24"/>
        </w:rPr>
        <w:t xml:space="preserve"> </w:t>
      </w:r>
      <w:r w:rsidR="00C804BA" w:rsidRPr="002C1A24">
        <w:rPr>
          <w:rFonts w:cstheme="minorHAnsi"/>
          <w:sz w:val="24"/>
          <w:szCs w:val="24"/>
        </w:rPr>
        <w:t>Banking and financial services is another k</w:t>
      </w:r>
      <w:r w:rsidR="00E65F3B" w:rsidRPr="002C1A24">
        <w:rPr>
          <w:rFonts w:cstheme="minorHAnsi"/>
          <w:sz w:val="24"/>
          <w:szCs w:val="24"/>
        </w:rPr>
        <w:t xml:space="preserve">ey sector of </w:t>
      </w:r>
      <w:r w:rsidR="00C804BA" w:rsidRPr="002C1A24">
        <w:rPr>
          <w:rFonts w:cstheme="minorHAnsi"/>
          <w:sz w:val="24"/>
          <w:szCs w:val="24"/>
        </w:rPr>
        <w:t>Edinburgh</w:t>
      </w:r>
      <w:r w:rsidR="00221750">
        <w:rPr>
          <w:rFonts w:cstheme="minorHAnsi"/>
          <w:sz w:val="24"/>
          <w:szCs w:val="24"/>
        </w:rPr>
        <w:t>’s</w:t>
      </w:r>
      <w:r w:rsidR="00C804BA" w:rsidRPr="002C1A24">
        <w:rPr>
          <w:rFonts w:cstheme="minorHAnsi"/>
          <w:sz w:val="24"/>
          <w:szCs w:val="24"/>
        </w:rPr>
        <w:t xml:space="preserve"> </w:t>
      </w:r>
      <w:r w:rsidR="00E65F3B" w:rsidRPr="002C1A24">
        <w:rPr>
          <w:rFonts w:cstheme="minorHAnsi"/>
          <w:sz w:val="24"/>
          <w:szCs w:val="24"/>
        </w:rPr>
        <w:t xml:space="preserve">local economy </w:t>
      </w:r>
      <w:r w:rsidR="00C804BA" w:rsidRPr="002C1A24">
        <w:rPr>
          <w:rFonts w:cstheme="minorHAnsi"/>
          <w:sz w:val="24"/>
          <w:szCs w:val="24"/>
        </w:rPr>
        <w:t xml:space="preserve">with the city </w:t>
      </w:r>
      <w:r w:rsidR="00E65F3B" w:rsidRPr="002C1A24">
        <w:rPr>
          <w:rFonts w:cstheme="minorHAnsi"/>
          <w:sz w:val="24"/>
          <w:szCs w:val="24"/>
        </w:rPr>
        <w:t>currently ranked 13</w:t>
      </w:r>
      <w:r w:rsidR="00E65F3B" w:rsidRPr="002C1A24">
        <w:rPr>
          <w:rFonts w:cstheme="minorHAnsi"/>
          <w:sz w:val="24"/>
          <w:szCs w:val="24"/>
          <w:vertAlign w:val="superscript"/>
        </w:rPr>
        <w:t>th</w:t>
      </w:r>
      <w:r w:rsidR="00E65F3B" w:rsidRPr="002C1A24">
        <w:rPr>
          <w:rFonts w:cstheme="minorHAnsi"/>
          <w:sz w:val="24"/>
          <w:szCs w:val="24"/>
        </w:rPr>
        <w:t xml:space="preserve"> in the Global Financial Centres Index</w:t>
      </w:r>
      <w:r w:rsidR="00C804BA" w:rsidRPr="002C1A24">
        <w:rPr>
          <w:rFonts w:cstheme="minorHAnsi"/>
          <w:sz w:val="24"/>
          <w:szCs w:val="24"/>
        </w:rPr>
        <w:t xml:space="preserve"> 28</w:t>
      </w:r>
      <w:r w:rsidR="00E65F3B" w:rsidRPr="002C1A24">
        <w:rPr>
          <w:rFonts w:cstheme="minorHAnsi"/>
          <w:sz w:val="24"/>
          <w:szCs w:val="24"/>
        </w:rPr>
        <w:t xml:space="preserve"> (</w:t>
      </w:r>
      <w:r w:rsidR="00C804BA" w:rsidRPr="002C1A24">
        <w:rPr>
          <w:rFonts w:cstheme="minorHAnsi"/>
          <w:sz w:val="24"/>
          <w:szCs w:val="24"/>
        </w:rPr>
        <w:t xml:space="preserve">Wardle and </w:t>
      </w:r>
      <w:proofErr w:type="spellStart"/>
      <w:r w:rsidR="00C804BA" w:rsidRPr="002C1A24">
        <w:rPr>
          <w:rFonts w:cstheme="minorHAnsi"/>
          <w:sz w:val="24"/>
          <w:szCs w:val="24"/>
        </w:rPr>
        <w:t>Mainelli</w:t>
      </w:r>
      <w:proofErr w:type="spellEnd"/>
      <w:r w:rsidR="00C804BA" w:rsidRPr="002C1A24">
        <w:rPr>
          <w:rFonts w:cstheme="minorHAnsi"/>
          <w:sz w:val="24"/>
          <w:szCs w:val="24"/>
        </w:rPr>
        <w:t>, 2020).</w:t>
      </w:r>
      <w:r w:rsidR="00572DB8" w:rsidRPr="002C1A24">
        <w:rPr>
          <w:rFonts w:cstheme="minorHAnsi"/>
          <w:sz w:val="24"/>
          <w:szCs w:val="24"/>
        </w:rPr>
        <w:t xml:space="preserve"> </w:t>
      </w:r>
      <w:r w:rsidR="00C804BA" w:rsidRPr="002C1A24">
        <w:rPr>
          <w:rFonts w:cstheme="minorHAnsi"/>
          <w:sz w:val="24"/>
          <w:szCs w:val="24"/>
        </w:rPr>
        <w:t xml:space="preserve">Science and </w:t>
      </w:r>
      <w:r w:rsidR="00221750">
        <w:rPr>
          <w:rFonts w:cstheme="minorHAnsi"/>
          <w:sz w:val="24"/>
          <w:szCs w:val="24"/>
        </w:rPr>
        <w:t>t</w:t>
      </w:r>
      <w:r w:rsidR="00C804BA" w:rsidRPr="002C1A24">
        <w:rPr>
          <w:rFonts w:cstheme="minorHAnsi"/>
          <w:sz w:val="24"/>
          <w:szCs w:val="24"/>
        </w:rPr>
        <w:t>echnology, including electronics, gaming, energy and medical science, are other important employers</w:t>
      </w:r>
      <w:r w:rsidR="00AF1D14" w:rsidRPr="002C1A24">
        <w:rPr>
          <w:rFonts w:cstheme="minorHAnsi"/>
          <w:sz w:val="24"/>
          <w:szCs w:val="24"/>
        </w:rPr>
        <w:t xml:space="preserve"> with a</w:t>
      </w:r>
      <w:r w:rsidR="0040522F" w:rsidRPr="002C1A24">
        <w:rPr>
          <w:rFonts w:cstheme="minorHAnsi"/>
          <w:sz w:val="24"/>
          <w:szCs w:val="24"/>
        </w:rPr>
        <w:t>pproximately 38,4000 workers employed in the digital tech industry in 2017 (The City of Edinburgh, 2018).</w:t>
      </w:r>
    </w:p>
    <w:p w14:paraId="7832F1ED" w14:textId="77777777" w:rsidR="0048378E" w:rsidRPr="0032572F" w:rsidRDefault="0048378E" w:rsidP="0032572F">
      <w:pPr>
        <w:pStyle w:val="NoSpacing"/>
        <w:spacing w:line="360" w:lineRule="auto"/>
        <w:jc w:val="both"/>
        <w:rPr>
          <w:rFonts w:cstheme="minorHAnsi"/>
          <w:sz w:val="24"/>
          <w:szCs w:val="24"/>
        </w:rPr>
      </w:pPr>
    </w:p>
    <w:p w14:paraId="6160C8CB" w14:textId="5E0717A6" w:rsidR="002C4DD7" w:rsidRPr="002C1A24" w:rsidRDefault="00F469BB" w:rsidP="007D3B19">
      <w:pPr>
        <w:spacing w:line="360" w:lineRule="auto"/>
        <w:jc w:val="both"/>
        <w:rPr>
          <w:rFonts w:asciiTheme="minorHAnsi" w:eastAsiaTheme="minorHAnsi" w:hAnsiTheme="minorHAnsi" w:cstheme="minorHAnsi"/>
        </w:rPr>
      </w:pPr>
      <w:r w:rsidRPr="002C1A24">
        <w:rPr>
          <w:rFonts w:asciiTheme="minorHAnsi" w:eastAsiaTheme="minorHAnsi" w:hAnsiTheme="minorHAnsi" w:cstheme="minorHAnsi"/>
        </w:rPr>
        <w:t>Edinburgh</w:t>
      </w:r>
      <w:r w:rsidR="001863E6" w:rsidRPr="002C1A24">
        <w:rPr>
          <w:rFonts w:asciiTheme="minorHAnsi" w:eastAsiaTheme="minorHAnsi" w:hAnsiTheme="minorHAnsi" w:cstheme="minorHAnsi"/>
        </w:rPr>
        <w:t xml:space="preserve"> is also </w:t>
      </w:r>
      <w:r w:rsidR="00AB50F9" w:rsidRPr="002C1A24">
        <w:rPr>
          <w:rFonts w:asciiTheme="minorHAnsi" w:eastAsiaTheme="minorHAnsi" w:hAnsiTheme="minorHAnsi" w:cstheme="minorHAnsi"/>
        </w:rPr>
        <w:t xml:space="preserve">an attractive tourist destination as a </w:t>
      </w:r>
      <w:r w:rsidR="00AE4293" w:rsidRPr="002C1A24">
        <w:rPr>
          <w:rFonts w:asciiTheme="minorHAnsi" w:eastAsiaTheme="minorHAnsi" w:hAnsiTheme="minorHAnsi" w:cstheme="minorHAnsi"/>
        </w:rPr>
        <w:t xml:space="preserve">UNESCO </w:t>
      </w:r>
      <w:r w:rsidR="001863E6" w:rsidRPr="002C1A24">
        <w:rPr>
          <w:rFonts w:asciiTheme="minorHAnsi" w:eastAsiaTheme="minorHAnsi" w:hAnsiTheme="minorHAnsi" w:cstheme="minorHAnsi"/>
        </w:rPr>
        <w:t xml:space="preserve">World Heritage Centre, drawing 2 million </w:t>
      </w:r>
      <w:r w:rsidR="0040522F" w:rsidRPr="002C1A24">
        <w:rPr>
          <w:rFonts w:asciiTheme="minorHAnsi" w:eastAsiaTheme="minorHAnsi" w:hAnsiTheme="minorHAnsi" w:cstheme="minorHAnsi"/>
        </w:rPr>
        <w:t xml:space="preserve">overseas visits </w:t>
      </w:r>
      <w:r w:rsidR="001863E6" w:rsidRPr="002C1A24">
        <w:rPr>
          <w:rFonts w:asciiTheme="minorHAnsi" w:eastAsiaTheme="minorHAnsi" w:hAnsiTheme="minorHAnsi" w:cstheme="minorHAnsi"/>
        </w:rPr>
        <w:t>in 2017 and is the 2</w:t>
      </w:r>
      <w:r w:rsidR="001863E6" w:rsidRPr="002C1A24">
        <w:rPr>
          <w:rFonts w:asciiTheme="minorHAnsi" w:eastAsiaTheme="minorHAnsi" w:hAnsiTheme="minorHAnsi" w:cstheme="minorHAnsi"/>
          <w:vertAlign w:val="superscript"/>
        </w:rPr>
        <w:t>nd</w:t>
      </w:r>
      <w:r w:rsidR="001863E6" w:rsidRPr="002C1A24">
        <w:rPr>
          <w:rFonts w:asciiTheme="minorHAnsi" w:eastAsiaTheme="minorHAnsi" w:hAnsiTheme="minorHAnsi" w:cstheme="minorHAnsi"/>
        </w:rPr>
        <w:t xml:space="preserve"> most popular city visited by overseas visitors in the UK </w:t>
      </w:r>
      <w:r w:rsidR="00221750">
        <w:rPr>
          <w:rFonts w:asciiTheme="minorHAnsi" w:eastAsiaTheme="minorHAnsi" w:hAnsiTheme="minorHAnsi" w:cstheme="minorHAnsi"/>
        </w:rPr>
        <w:t>(</w:t>
      </w:r>
      <w:r w:rsidR="001863E6" w:rsidRPr="002C1A24">
        <w:rPr>
          <w:rFonts w:asciiTheme="minorHAnsi" w:eastAsiaTheme="minorHAnsi" w:hAnsiTheme="minorHAnsi" w:cstheme="minorHAnsi"/>
        </w:rPr>
        <w:t>Visit</w:t>
      </w:r>
      <w:r w:rsidR="00AC51AD" w:rsidRPr="002C1A24">
        <w:rPr>
          <w:rFonts w:asciiTheme="minorHAnsi" w:eastAsiaTheme="minorHAnsi" w:hAnsiTheme="minorHAnsi" w:cstheme="minorHAnsi"/>
        </w:rPr>
        <w:t>Scotland, 201</w:t>
      </w:r>
      <w:r w:rsidR="0017018A">
        <w:rPr>
          <w:rFonts w:asciiTheme="minorHAnsi" w:eastAsiaTheme="minorHAnsi" w:hAnsiTheme="minorHAnsi" w:cstheme="minorHAnsi"/>
        </w:rPr>
        <w:t>8</w:t>
      </w:r>
      <w:r w:rsidR="00AC51AD" w:rsidRPr="002C1A24">
        <w:rPr>
          <w:rFonts w:asciiTheme="minorHAnsi" w:eastAsiaTheme="minorHAnsi" w:hAnsiTheme="minorHAnsi" w:cstheme="minorHAnsi"/>
        </w:rPr>
        <w:t>a</w:t>
      </w:r>
      <w:r w:rsidR="00221750">
        <w:rPr>
          <w:rFonts w:asciiTheme="minorHAnsi" w:eastAsiaTheme="minorHAnsi" w:hAnsiTheme="minorHAnsi" w:cstheme="minorHAnsi"/>
        </w:rPr>
        <w:t>)</w:t>
      </w:r>
      <w:r w:rsidR="001863E6" w:rsidRPr="002C1A24">
        <w:rPr>
          <w:rFonts w:asciiTheme="minorHAnsi" w:eastAsiaTheme="minorHAnsi" w:hAnsiTheme="minorHAnsi" w:cstheme="minorHAnsi"/>
        </w:rPr>
        <w:t>.</w:t>
      </w:r>
      <w:r w:rsidR="00572DB8" w:rsidRPr="002C1A24">
        <w:rPr>
          <w:rFonts w:asciiTheme="minorHAnsi" w:eastAsiaTheme="minorHAnsi" w:hAnsiTheme="minorHAnsi" w:cstheme="minorHAnsi"/>
        </w:rPr>
        <w:t xml:space="preserve"> </w:t>
      </w:r>
      <w:r w:rsidR="001863E6" w:rsidRPr="002C1A24">
        <w:rPr>
          <w:rFonts w:asciiTheme="minorHAnsi" w:eastAsiaTheme="minorHAnsi" w:hAnsiTheme="minorHAnsi" w:cstheme="minorHAnsi"/>
        </w:rPr>
        <w:t>Summer festivals, such as the Fringe Arts Festival, Comedy Festival and Book Festival, and the Christmas and New Year celebrations are popular with international and national visitors.</w:t>
      </w:r>
      <w:r w:rsidR="00572DB8" w:rsidRPr="002C1A24">
        <w:rPr>
          <w:rFonts w:asciiTheme="minorHAnsi" w:eastAsiaTheme="minorHAnsi" w:hAnsiTheme="minorHAnsi" w:cstheme="minorHAnsi"/>
        </w:rPr>
        <w:t xml:space="preserve"> </w:t>
      </w:r>
      <w:r w:rsidR="00AE4293" w:rsidRPr="002C1A24">
        <w:rPr>
          <w:rFonts w:asciiTheme="minorHAnsi" w:eastAsiaTheme="minorHAnsi" w:hAnsiTheme="minorHAnsi" w:cstheme="minorHAnsi"/>
        </w:rPr>
        <w:t>The World Heritage area covers the Old and New Towns of Edinburgh which is an approximate 4.5km</w:t>
      </w:r>
      <w:r w:rsidR="00AE4293" w:rsidRPr="002C1A24">
        <w:rPr>
          <w:rFonts w:asciiTheme="minorHAnsi" w:eastAsiaTheme="minorHAnsi" w:hAnsiTheme="minorHAnsi" w:cstheme="minorHAnsi"/>
          <w:vertAlign w:val="superscript"/>
        </w:rPr>
        <w:t xml:space="preserve">2 </w:t>
      </w:r>
      <w:r w:rsidR="00AE4293" w:rsidRPr="002C1A24">
        <w:rPr>
          <w:rFonts w:asciiTheme="minorHAnsi" w:eastAsiaTheme="minorHAnsi" w:hAnsiTheme="minorHAnsi" w:cstheme="minorHAnsi"/>
        </w:rPr>
        <w:t>area within the city centre.</w:t>
      </w:r>
      <w:r w:rsidR="00572DB8" w:rsidRPr="002C1A24">
        <w:rPr>
          <w:rFonts w:asciiTheme="minorHAnsi" w:eastAsiaTheme="minorHAnsi" w:hAnsiTheme="minorHAnsi" w:cstheme="minorHAnsi"/>
        </w:rPr>
        <w:t xml:space="preserve"> </w:t>
      </w:r>
      <w:r w:rsidR="00AF1D14" w:rsidRPr="002C1A24">
        <w:rPr>
          <w:rFonts w:asciiTheme="minorHAnsi" w:eastAsiaTheme="minorHAnsi" w:hAnsiTheme="minorHAnsi" w:cstheme="minorHAnsi"/>
        </w:rPr>
        <w:t>As a consequence of t</w:t>
      </w:r>
      <w:r w:rsidR="00B15FBD" w:rsidRPr="002C1A24">
        <w:rPr>
          <w:rFonts w:asciiTheme="minorHAnsi" w:eastAsiaTheme="minorHAnsi" w:hAnsiTheme="minorHAnsi" w:cstheme="minorHAnsi"/>
        </w:rPr>
        <w:t>he measures in place to protect and manage the designated area, as well as the city’s</w:t>
      </w:r>
      <w:r w:rsidR="00AE4293" w:rsidRPr="002C1A24">
        <w:rPr>
          <w:rFonts w:asciiTheme="minorHAnsi" w:eastAsiaTheme="minorHAnsi" w:hAnsiTheme="minorHAnsi" w:cstheme="minorHAnsi"/>
        </w:rPr>
        <w:t xml:space="preserve"> greenbelt policy, </w:t>
      </w:r>
      <w:r w:rsidR="00B15FBD" w:rsidRPr="002C1A24">
        <w:rPr>
          <w:rFonts w:asciiTheme="minorHAnsi" w:eastAsiaTheme="minorHAnsi" w:hAnsiTheme="minorHAnsi" w:cstheme="minorHAnsi"/>
        </w:rPr>
        <w:t xml:space="preserve">tight </w:t>
      </w:r>
      <w:r w:rsidR="00AE4293" w:rsidRPr="002C1A24">
        <w:rPr>
          <w:rFonts w:asciiTheme="minorHAnsi" w:eastAsiaTheme="minorHAnsi" w:hAnsiTheme="minorHAnsi" w:cstheme="minorHAnsi"/>
        </w:rPr>
        <w:t xml:space="preserve">development </w:t>
      </w:r>
      <w:r w:rsidR="00AF1D14" w:rsidRPr="002C1A24">
        <w:rPr>
          <w:rFonts w:asciiTheme="minorHAnsi" w:eastAsiaTheme="minorHAnsi" w:hAnsiTheme="minorHAnsi" w:cstheme="minorHAnsi"/>
        </w:rPr>
        <w:t xml:space="preserve">controls </w:t>
      </w:r>
      <w:r w:rsidR="00147739" w:rsidRPr="002C1A24">
        <w:rPr>
          <w:rFonts w:asciiTheme="minorHAnsi" w:eastAsiaTheme="minorHAnsi" w:hAnsiTheme="minorHAnsi" w:cstheme="minorHAnsi"/>
        </w:rPr>
        <w:t xml:space="preserve">exist </w:t>
      </w:r>
      <w:r w:rsidR="00AE4293" w:rsidRPr="002C1A24">
        <w:rPr>
          <w:rFonts w:asciiTheme="minorHAnsi" w:eastAsiaTheme="minorHAnsi" w:hAnsiTheme="minorHAnsi" w:cstheme="minorHAnsi"/>
        </w:rPr>
        <w:t>within and at the edges of the city</w:t>
      </w:r>
      <w:r w:rsidR="00147739" w:rsidRPr="002C1A24">
        <w:rPr>
          <w:rFonts w:asciiTheme="minorHAnsi" w:eastAsiaTheme="minorHAnsi" w:hAnsiTheme="minorHAnsi" w:cstheme="minorHAnsi"/>
        </w:rPr>
        <w:t xml:space="preserve"> to minimise the impact of new development on the heritage of the centre.</w:t>
      </w:r>
      <w:r w:rsidR="00572DB8" w:rsidRPr="002C1A24">
        <w:rPr>
          <w:rFonts w:asciiTheme="minorHAnsi" w:eastAsiaTheme="minorHAnsi" w:hAnsiTheme="minorHAnsi" w:cstheme="minorHAnsi"/>
        </w:rPr>
        <w:t xml:space="preserve"> </w:t>
      </w:r>
      <w:r w:rsidR="00033953" w:rsidRPr="002C1A24">
        <w:rPr>
          <w:rFonts w:asciiTheme="minorHAnsi" w:eastAsiaTheme="minorHAnsi" w:hAnsiTheme="minorHAnsi" w:cstheme="minorHAnsi"/>
        </w:rPr>
        <w:t>Around 6,120 hotel rooms</w:t>
      </w:r>
      <w:r w:rsidR="00572DB8" w:rsidRPr="002C1A24">
        <w:rPr>
          <w:rFonts w:asciiTheme="minorHAnsi" w:eastAsiaTheme="minorHAnsi" w:hAnsiTheme="minorHAnsi" w:cstheme="minorHAnsi"/>
        </w:rPr>
        <w:t xml:space="preserve"> </w:t>
      </w:r>
      <w:r w:rsidR="00033953" w:rsidRPr="002C1A24">
        <w:rPr>
          <w:rFonts w:asciiTheme="minorHAnsi" w:eastAsiaTheme="minorHAnsi" w:hAnsiTheme="minorHAnsi" w:cstheme="minorHAnsi"/>
        </w:rPr>
        <w:t xml:space="preserve">have been completed between 2002 and 2017 to accommodate the growing visitor numbers but the majority of new hotel space has been located on the edge of the centre, mainly at South </w:t>
      </w:r>
      <w:proofErr w:type="spellStart"/>
      <w:r w:rsidR="00033953" w:rsidRPr="002C1A24">
        <w:rPr>
          <w:rFonts w:asciiTheme="minorHAnsi" w:eastAsiaTheme="minorHAnsi" w:hAnsiTheme="minorHAnsi" w:cstheme="minorHAnsi"/>
        </w:rPr>
        <w:t>Gyle</w:t>
      </w:r>
      <w:proofErr w:type="spellEnd"/>
      <w:r w:rsidR="00033953" w:rsidRPr="002C1A24">
        <w:rPr>
          <w:rFonts w:asciiTheme="minorHAnsi" w:eastAsiaTheme="minorHAnsi" w:hAnsiTheme="minorHAnsi" w:cstheme="minorHAnsi"/>
        </w:rPr>
        <w:t>, to safeguard the historic character of the centre (The City of Edinburgh, 2018).</w:t>
      </w:r>
    </w:p>
    <w:p w14:paraId="325DDA36" w14:textId="55890748" w:rsidR="001863E6" w:rsidRPr="002C1A24" w:rsidRDefault="001863E6" w:rsidP="007D3B19">
      <w:pPr>
        <w:spacing w:line="360" w:lineRule="auto"/>
        <w:jc w:val="both"/>
        <w:rPr>
          <w:rFonts w:asciiTheme="minorHAnsi" w:eastAsiaTheme="minorHAnsi" w:hAnsiTheme="minorHAnsi" w:cstheme="minorHAnsi"/>
        </w:rPr>
      </w:pPr>
    </w:p>
    <w:p w14:paraId="2869D5B2" w14:textId="5499C82C" w:rsidR="001863E6" w:rsidRPr="002C1A24" w:rsidRDefault="001863E6" w:rsidP="007D3B19">
      <w:pPr>
        <w:spacing w:line="360" w:lineRule="auto"/>
        <w:jc w:val="both"/>
        <w:rPr>
          <w:rFonts w:asciiTheme="minorHAnsi" w:eastAsiaTheme="minorHAnsi" w:hAnsiTheme="minorHAnsi" w:cstheme="minorHAnsi"/>
        </w:rPr>
      </w:pPr>
      <w:r w:rsidRPr="002C1A24">
        <w:rPr>
          <w:rFonts w:asciiTheme="minorHAnsi" w:eastAsiaTheme="minorHAnsi" w:hAnsiTheme="minorHAnsi" w:cstheme="minorHAnsi"/>
        </w:rPr>
        <w:t xml:space="preserve">The city has a </w:t>
      </w:r>
      <w:r w:rsidR="002A39C7" w:rsidRPr="002C1A24">
        <w:rPr>
          <w:rFonts w:asciiTheme="minorHAnsi" w:eastAsiaTheme="minorHAnsi" w:hAnsiTheme="minorHAnsi" w:cstheme="minorHAnsi"/>
        </w:rPr>
        <w:t xml:space="preserve">large student population. There are three universities </w:t>
      </w:r>
      <w:r w:rsidR="00AF1D14" w:rsidRPr="002C1A24">
        <w:rPr>
          <w:rFonts w:asciiTheme="minorHAnsi" w:eastAsiaTheme="minorHAnsi" w:hAnsiTheme="minorHAnsi" w:cstheme="minorHAnsi"/>
        </w:rPr>
        <w:t>located with</w:t>
      </w:r>
      <w:r w:rsidR="002A39C7" w:rsidRPr="002C1A24">
        <w:rPr>
          <w:rFonts w:asciiTheme="minorHAnsi" w:eastAsiaTheme="minorHAnsi" w:hAnsiTheme="minorHAnsi" w:cstheme="minorHAnsi"/>
        </w:rPr>
        <w:t>in the city -</w:t>
      </w:r>
      <w:r w:rsidR="00572DB8" w:rsidRPr="002C1A24">
        <w:rPr>
          <w:rFonts w:asciiTheme="minorHAnsi" w:eastAsiaTheme="minorHAnsi" w:hAnsiTheme="minorHAnsi" w:cstheme="minorHAnsi"/>
        </w:rPr>
        <w:t xml:space="preserve"> </w:t>
      </w:r>
      <w:r w:rsidR="002A39C7" w:rsidRPr="002C1A24">
        <w:rPr>
          <w:rFonts w:asciiTheme="minorHAnsi" w:eastAsiaTheme="minorHAnsi" w:hAnsiTheme="minorHAnsi" w:cstheme="minorHAnsi"/>
        </w:rPr>
        <w:t xml:space="preserve">Edinburgh University, Edinburgh Napier and Heriot Watt. Together these </w:t>
      </w:r>
      <w:r w:rsidR="00C25267" w:rsidRPr="002C1A24">
        <w:rPr>
          <w:rFonts w:asciiTheme="minorHAnsi" w:eastAsiaTheme="minorHAnsi" w:hAnsiTheme="minorHAnsi" w:cstheme="minorHAnsi"/>
        </w:rPr>
        <w:t xml:space="preserve">universities </w:t>
      </w:r>
      <w:r w:rsidR="002A39C7" w:rsidRPr="002C1A24">
        <w:rPr>
          <w:rFonts w:asciiTheme="minorHAnsi" w:eastAsiaTheme="minorHAnsi" w:hAnsiTheme="minorHAnsi" w:cstheme="minorHAnsi"/>
        </w:rPr>
        <w:t xml:space="preserve">hosted over </w:t>
      </w:r>
      <w:r w:rsidR="0040522F" w:rsidRPr="002C1A24">
        <w:rPr>
          <w:rFonts w:asciiTheme="minorHAnsi" w:eastAsiaTheme="minorHAnsi" w:hAnsiTheme="minorHAnsi" w:cstheme="minorHAnsi"/>
        </w:rPr>
        <w:t>55</w:t>
      </w:r>
      <w:r w:rsidR="002A39C7" w:rsidRPr="002C1A24">
        <w:rPr>
          <w:rFonts w:asciiTheme="minorHAnsi" w:eastAsiaTheme="minorHAnsi" w:hAnsiTheme="minorHAnsi" w:cstheme="minorHAnsi"/>
        </w:rPr>
        <w:t>,</w:t>
      </w:r>
      <w:r w:rsidR="0040522F" w:rsidRPr="002C1A24">
        <w:rPr>
          <w:rFonts w:asciiTheme="minorHAnsi" w:eastAsiaTheme="minorHAnsi" w:hAnsiTheme="minorHAnsi" w:cstheme="minorHAnsi"/>
        </w:rPr>
        <w:t>3</w:t>
      </w:r>
      <w:r w:rsidR="002A39C7" w:rsidRPr="002C1A24">
        <w:rPr>
          <w:rFonts w:asciiTheme="minorHAnsi" w:eastAsiaTheme="minorHAnsi" w:hAnsiTheme="minorHAnsi" w:cstheme="minorHAnsi"/>
        </w:rPr>
        <w:t>00 undergraduate and postgraduate students in the city in 2017/18</w:t>
      </w:r>
      <w:r w:rsidR="000E6CEA" w:rsidRPr="002C1A24">
        <w:rPr>
          <w:rFonts w:asciiTheme="minorHAnsi" w:eastAsiaTheme="minorHAnsi" w:hAnsiTheme="minorHAnsi" w:cstheme="minorHAnsi"/>
        </w:rPr>
        <w:t xml:space="preserve"> (The City of Edinburgh, 2018)</w:t>
      </w:r>
      <w:r w:rsidR="002A39C7" w:rsidRPr="002C1A24">
        <w:rPr>
          <w:rFonts w:asciiTheme="minorHAnsi" w:eastAsiaTheme="minorHAnsi" w:hAnsiTheme="minorHAnsi" w:cstheme="minorHAnsi"/>
        </w:rPr>
        <w:t>.</w:t>
      </w:r>
      <w:r w:rsidR="00572DB8" w:rsidRPr="002C1A24">
        <w:rPr>
          <w:rFonts w:asciiTheme="minorHAnsi" w:eastAsiaTheme="minorHAnsi" w:hAnsiTheme="minorHAnsi" w:cstheme="minorHAnsi"/>
        </w:rPr>
        <w:t xml:space="preserve"> </w:t>
      </w:r>
      <w:r w:rsidR="002A39C7" w:rsidRPr="002C1A24">
        <w:rPr>
          <w:rFonts w:asciiTheme="minorHAnsi" w:eastAsiaTheme="minorHAnsi" w:hAnsiTheme="minorHAnsi" w:cstheme="minorHAnsi"/>
        </w:rPr>
        <w:t xml:space="preserve">The largest </w:t>
      </w:r>
      <w:r w:rsidR="008A6932">
        <w:rPr>
          <w:rFonts w:asciiTheme="minorHAnsi" w:eastAsiaTheme="minorHAnsi" w:hAnsiTheme="minorHAnsi" w:cstheme="minorHAnsi"/>
        </w:rPr>
        <w:t>u</w:t>
      </w:r>
      <w:r w:rsidR="002A39C7" w:rsidRPr="002C1A24">
        <w:rPr>
          <w:rFonts w:asciiTheme="minorHAnsi" w:eastAsiaTheme="minorHAnsi" w:hAnsiTheme="minorHAnsi" w:cstheme="minorHAnsi"/>
        </w:rPr>
        <w:t>niversity, University</w:t>
      </w:r>
      <w:r w:rsidR="00A82F86" w:rsidRPr="002C1A24">
        <w:rPr>
          <w:rFonts w:asciiTheme="minorHAnsi" w:eastAsiaTheme="minorHAnsi" w:hAnsiTheme="minorHAnsi" w:cstheme="minorHAnsi"/>
        </w:rPr>
        <w:t xml:space="preserve"> of Edinburgh</w:t>
      </w:r>
      <w:r w:rsidR="002A39C7" w:rsidRPr="002C1A24">
        <w:rPr>
          <w:rFonts w:asciiTheme="minorHAnsi" w:eastAsiaTheme="minorHAnsi" w:hAnsiTheme="minorHAnsi" w:cstheme="minorHAnsi"/>
        </w:rPr>
        <w:t xml:space="preserve">, </w:t>
      </w:r>
      <w:r w:rsidR="00C25267" w:rsidRPr="002C1A24">
        <w:rPr>
          <w:rFonts w:asciiTheme="minorHAnsi" w:eastAsiaTheme="minorHAnsi" w:hAnsiTheme="minorHAnsi" w:cstheme="minorHAnsi"/>
        </w:rPr>
        <w:t xml:space="preserve">attracted 45% of its student base from </w:t>
      </w:r>
      <w:r w:rsidR="00C25267" w:rsidRPr="002C1A24">
        <w:rPr>
          <w:rFonts w:asciiTheme="minorHAnsi" w:eastAsiaTheme="minorHAnsi" w:hAnsiTheme="minorHAnsi" w:cstheme="minorHAnsi"/>
        </w:rPr>
        <w:lastRenderedPageBreak/>
        <w:t>domiciles outside the UK (University of Edinburgh, 2019).</w:t>
      </w:r>
      <w:r w:rsidR="00572DB8" w:rsidRPr="002C1A24">
        <w:rPr>
          <w:rFonts w:asciiTheme="minorHAnsi" w:eastAsiaTheme="minorHAnsi" w:hAnsiTheme="minorHAnsi" w:cstheme="minorHAnsi"/>
        </w:rPr>
        <w:t xml:space="preserve"> </w:t>
      </w:r>
      <w:r w:rsidR="00AF1D14" w:rsidRPr="002C1A24">
        <w:rPr>
          <w:rFonts w:asciiTheme="minorHAnsi" w:eastAsiaTheme="minorHAnsi" w:hAnsiTheme="minorHAnsi" w:cstheme="minorHAnsi"/>
        </w:rPr>
        <w:t xml:space="preserve">The growth in student numbers over the last decade is reflected in the </w:t>
      </w:r>
      <w:r w:rsidR="000E6CEA" w:rsidRPr="002C1A24">
        <w:rPr>
          <w:rFonts w:asciiTheme="minorHAnsi" w:eastAsiaTheme="minorHAnsi" w:hAnsiTheme="minorHAnsi" w:cstheme="minorHAnsi"/>
        </w:rPr>
        <w:t xml:space="preserve">9,800 </w:t>
      </w:r>
      <w:r w:rsidR="00AF1D14" w:rsidRPr="002C1A24">
        <w:rPr>
          <w:rFonts w:asciiTheme="minorHAnsi" w:eastAsiaTheme="minorHAnsi" w:hAnsiTheme="minorHAnsi" w:cstheme="minorHAnsi"/>
        </w:rPr>
        <w:t xml:space="preserve">additional </w:t>
      </w:r>
      <w:r w:rsidR="000E6CEA" w:rsidRPr="002C1A24">
        <w:rPr>
          <w:rFonts w:asciiTheme="minorHAnsi" w:eastAsiaTheme="minorHAnsi" w:hAnsiTheme="minorHAnsi" w:cstheme="minorHAnsi"/>
        </w:rPr>
        <w:t>purpose</w:t>
      </w:r>
      <w:r w:rsidR="002C1A24" w:rsidRPr="002C1A24">
        <w:rPr>
          <w:rFonts w:asciiTheme="minorHAnsi" w:eastAsiaTheme="minorHAnsi" w:hAnsiTheme="minorHAnsi" w:cstheme="minorHAnsi"/>
        </w:rPr>
        <w:t>-</w:t>
      </w:r>
      <w:r w:rsidR="000E6CEA" w:rsidRPr="002C1A24">
        <w:rPr>
          <w:rFonts w:asciiTheme="minorHAnsi" w:eastAsiaTheme="minorHAnsi" w:hAnsiTheme="minorHAnsi" w:cstheme="minorHAnsi"/>
        </w:rPr>
        <w:t>built student room</w:t>
      </w:r>
      <w:r w:rsidR="00AF1D14" w:rsidRPr="002C1A24">
        <w:rPr>
          <w:rFonts w:asciiTheme="minorHAnsi" w:eastAsiaTheme="minorHAnsi" w:hAnsiTheme="minorHAnsi" w:cstheme="minorHAnsi"/>
        </w:rPr>
        <w:t>s developed between 2007 and 2017 in the city</w:t>
      </w:r>
      <w:r w:rsidR="000E6CEA" w:rsidRPr="002C1A24">
        <w:rPr>
          <w:rFonts w:asciiTheme="minorHAnsi" w:eastAsiaTheme="minorHAnsi" w:hAnsiTheme="minorHAnsi" w:cstheme="minorHAnsi"/>
        </w:rPr>
        <w:t>.</w:t>
      </w:r>
      <w:r w:rsidR="00572DB8" w:rsidRPr="002C1A24">
        <w:rPr>
          <w:rFonts w:asciiTheme="minorHAnsi" w:eastAsiaTheme="minorHAnsi" w:hAnsiTheme="minorHAnsi" w:cstheme="minorHAnsi"/>
        </w:rPr>
        <w:t xml:space="preserve"> </w:t>
      </w:r>
      <w:r w:rsidR="00C40C05" w:rsidRPr="002C1A24">
        <w:rPr>
          <w:rFonts w:asciiTheme="minorHAnsi" w:eastAsiaTheme="minorHAnsi" w:hAnsiTheme="minorHAnsi" w:cstheme="minorHAnsi"/>
        </w:rPr>
        <w:t xml:space="preserve">The city </w:t>
      </w:r>
      <w:r w:rsidR="00AF1D14" w:rsidRPr="002C1A24">
        <w:rPr>
          <w:rFonts w:asciiTheme="minorHAnsi" w:eastAsiaTheme="minorHAnsi" w:hAnsiTheme="minorHAnsi" w:cstheme="minorHAnsi"/>
        </w:rPr>
        <w:t xml:space="preserve">also </w:t>
      </w:r>
      <w:r w:rsidR="00C40C05" w:rsidRPr="002C1A24">
        <w:rPr>
          <w:rFonts w:asciiTheme="minorHAnsi" w:eastAsiaTheme="minorHAnsi" w:hAnsiTheme="minorHAnsi" w:cstheme="minorHAnsi"/>
        </w:rPr>
        <w:t xml:space="preserve">has a highly </w:t>
      </w:r>
      <w:r w:rsidR="000E6CEA" w:rsidRPr="002C1A24">
        <w:rPr>
          <w:rFonts w:asciiTheme="minorHAnsi" w:eastAsiaTheme="minorHAnsi" w:hAnsiTheme="minorHAnsi" w:cstheme="minorHAnsi"/>
        </w:rPr>
        <w:t>s</w:t>
      </w:r>
      <w:r w:rsidR="00C40C05" w:rsidRPr="002C1A24">
        <w:rPr>
          <w:rFonts w:asciiTheme="minorHAnsi" w:eastAsiaTheme="minorHAnsi" w:hAnsiTheme="minorHAnsi" w:cstheme="minorHAnsi"/>
        </w:rPr>
        <w:t xml:space="preserve">killed workforce with </w:t>
      </w:r>
      <w:r w:rsidR="000E6CEA" w:rsidRPr="002C1A24">
        <w:rPr>
          <w:rFonts w:asciiTheme="minorHAnsi" w:eastAsiaTheme="minorHAnsi" w:hAnsiTheme="minorHAnsi" w:cstheme="minorHAnsi"/>
        </w:rPr>
        <w:t>63.9</w:t>
      </w:r>
      <w:r w:rsidR="00C40C05" w:rsidRPr="002C1A24">
        <w:rPr>
          <w:rFonts w:asciiTheme="minorHAnsi" w:eastAsiaTheme="minorHAnsi" w:hAnsiTheme="minorHAnsi" w:cstheme="minorHAnsi"/>
        </w:rPr>
        <w:t>% of residents holding first degrees</w:t>
      </w:r>
      <w:r w:rsidR="000E6CEA" w:rsidRPr="002C1A24">
        <w:rPr>
          <w:rFonts w:asciiTheme="minorHAnsi" w:eastAsiaTheme="minorHAnsi" w:hAnsiTheme="minorHAnsi" w:cstheme="minorHAnsi"/>
        </w:rPr>
        <w:t xml:space="preserve"> or higher (The City of Edinburgh, 2018).</w:t>
      </w:r>
    </w:p>
    <w:p w14:paraId="37ADB2CD" w14:textId="77777777" w:rsidR="000E6F30" w:rsidRPr="002C1A24" w:rsidRDefault="000E6F30" w:rsidP="007D3B19">
      <w:pPr>
        <w:spacing w:line="360" w:lineRule="auto"/>
        <w:jc w:val="both"/>
        <w:rPr>
          <w:rFonts w:asciiTheme="minorHAnsi" w:eastAsiaTheme="minorHAnsi" w:hAnsiTheme="minorHAnsi" w:cstheme="minorHAnsi"/>
        </w:rPr>
      </w:pPr>
    </w:p>
    <w:p w14:paraId="7F926E6E" w14:textId="1E68C3E0" w:rsidR="00A82F86" w:rsidRPr="002C1A24" w:rsidRDefault="001E696F" w:rsidP="008A4A41">
      <w:pPr>
        <w:spacing w:line="360" w:lineRule="auto"/>
        <w:jc w:val="both"/>
        <w:rPr>
          <w:rFonts w:asciiTheme="minorHAnsi" w:eastAsiaTheme="minorHAnsi" w:hAnsiTheme="minorHAnsi" w:cstheme="minorHAnsi"/>
        </w:rPr>
      </w:pPr>
      <w:r w:rsidRPr="002C1A24">
        <w:rPr>
          <w:rFonts w:asciiTheme="minorHAnsi" w:eastAsiaTheme="minorHAnsi" w:hAnsiTheme="minorHAnsi" w:cstheme="minorHAnsi"/>
        </w:rPr>
        <w:t xml:space="preserve">To </w:t>
      </w:r>
      <w:r w:rsidR="000E6CEA" w:rsidRPr="002C1A24">
        <w:rPr>
          <w:rFonts w:asciiTheme="minorHAnsi" w:eastAsiaTheme="minorHAnsi" w:hAnsiTheme="minorHAnsi" w:cstheme="minorHAnsi"/>
        </w:rPr>
        <w:t xml:space="preserve">improve connectivity within </w:t>
      </w:r>
      <w:r w:rsidRPr="002C1A24">
        <w:rPr>
          <w:rFonts w:asciiTheme="minorHAnsi" w:eastAsiaTheme="minorHAnsi" w:hAnsiTheme="minorHAnsi" w:cstheme="minorHAnsi"/>
        </w:rPr>
        <w:t xml:space="preserve">the city </w:t>
      </w:r>
      <w:r w:rsidR="000E6CEA" w:rsidRPr="002C1A24">
        <w:rPr>
          <w:rFonts w:asciiTheme="minorHAnsi" w:eastAsiaTheme="minorHAnsi" w:hAnsiTheme="minorHAnsi" w:cstheme="minorHAnsi"/>
        </w:rPr>
        <w:t xml:space="preserve">and relieve traffic congestion </w:t>
      </w:r>
      <w:r w:rsidRPr="002C1A24">
        <w:rPr>
          <w:rFonts w:asciiTheme="minorHAnsi" w:eastAsiaTheme="minorHAnsi" w:hAnsiTheme="minorHAnsi" w:cstheme="minorHAnsi"/>
        </w:rPr>
        <w:t>a new tram system was launched in Edinburgh in 2014.</w:t>
      </w:r>
      <w:r w:rsidR="00572DB8" w:rsidRPr="002C1A24">
        <w:rPr>
          <w:rFonts w:asciiTheme="minorHAnsi" w:eastAsiaTheme="minorHAnsi" w:hAnsiTheme="minorHAnsi" w:cstheme="minorHAnsi"/>
        </w:rPr>
        <w:t xml:space="preserve"> </w:t>
      </w:r>
      <w:r w:rsidRPr="002C1A24">
        <w:rPr>
          <w:rFonts w:asciiTheme="minorHAnsi" w:eastAsiaTheme="minorHAnsi" w:hAnsiTheme="minorHAnsi" w:cstheme="minorHAnsi"/>
        </w:rPr>
        <w:t>Th</w:t>
      </w:r>
      <w:r w:rsidR="00D10237" w:rsidRPr="002C1A24">
        <w:rPr>
          <w:rFonts w:asciiTheme="minorHAnsi" w:eastAsiaTheme="minorHAnsi" w:hAnsiTheme="minorHAnsi" w:cstheme="minorHAnsi"/>
        </w:rPr>
        <w:t>e 14.5 kilometre of line took six years to construct and links</w:t>
      </w:r>
      <w:r w:rsidRPr="002C1A24">
        <w:rPr>
          <w:rFonts w:asciiTheme="minorHAnsi" w:eastAsiaTheme="minorHAnsi" w:hAnsiTheme="minorHAnsi" w:cstheme="minorHAnsi"/>
        </w:rPr>
        <w:t xml:space="preserve"> Edinburgh </w:t>
      </w:r>
      <w:r w:rsidR="00D10237" w:rsidRPr="002C1A24">
        <w:rPr>
          <w:rFonts w:asciiTheme="minorHAnsi" w:eastAsiaTheme="minorHAnsi" w:hAnsiTheme="minorHAnsi" w:cstheme="minorHAnsi"/>
        </w:rPr>
        <w:t xml:space="preserve">Airport </w:t>
      </w:r>
      <w:r w:rsidRPr="002C1A24">
        <w:rPr>
          <w:rFonts w:asciiTheme="minorHAnsi" w:eastAsiaTheme="minorHAnsi" w:hAnsiTheme="minorHAnsi" w:cstheme="minorHAnsi"/>
        </w:rPr>
        <w:t>on the west</w:t>
      </w:r>
      <w:r w:rsidR="00A82F86" w:rsidRPr="002C1A24">
        <w:rPr>
          <w:rFonts w:asciiTheme="minorHAnsi" w:eastAsiaTheme="minorHAnsi" w:hAnsiTheme="minorHAnsi" w:cstheme="minorHAnsi"/>
        </w:rPr>
        <w:t>ern</w:t>
      </w:r>
      <w:r w:rsidRPr="002C1A24">
        <w:rPr>
          <w:rFonts w:asciiTheme="minorHAnsi" w:eastAsiaTheme="minorHAnsi" w:hAnsiTheme="minorHAnsi" w:cstheme="minorHAnsi"/>
        </w:rPr>
        <w:t xml:space="preserve"> edge of the city to the city centre</w:t>
      </w:r>
      <w:r w:rsidR="009A7579" w:rsidRPr="002C1A24">
        <w:rPr>
          <w:rFonts w:asciiTheme="minorHAnsi" w:eastAsiaTheme="minorHAnsi" w:hAnsiTheme="minorHAnsi" w:cstheme="minorHAnsi"/>
        </w:rPr>
        <w:t>, running partly along Princes Street</w:t>
      </w:r>
      <w:r w:rsidRPr="002C1A24">
        <w:rPr>
          <w:rFonts w:asciiTheme="minorHAnsi" w:eastAsiaTheme="minorHAnsi" w:hAnsiTheme="minorHAnsi" w:cstheme="minorHAnsi"/>
        </w:rPr>
        <w:t>.</w:t>
      </w:r>
      <w:r w:rsidR="00572DB8" w:rsidRPr="002C1A24">
        <w:rPr>
          <w:rFonts w:asciiTheme="minorHAnsi" w:eastAsiaTheme="minorHAnsi" w:hAnsiTheme="minorHAnsi" w:cstheme="minorHAnsi"/>
        </w:rPr>
        <w:t xml:space="preserve"> </w:t>
      </w:r>
      <w:r w:rsidR="00033953" w:rsidRPr="002C1A24">
        <w:rPr>
          <w:rFonts w:asciiTheme="minorHAnsi" w:eastAsiaTheme="minorHAnsi" w:hAnsiTheme="minorHAnsi" w:cstheme="minorHAnsi"/>
        </w:rPr>
        <w:t>This new tram system was highly controversial at the time</w:t>
      </w:r>
      <w:r w:rsidR="00A82F86" w:rsidRPr="002C1A24">
        <w:rPr>
          <w:rFonts w:asciiTheme="minorHAnsi" w:eastAsiaTheme="minorHAnsi" w:hAnsiTheme="minorHAnsi" w:cstheme="minorHAnsi"/>
        </w:rPr>
        <w:t xml:space="preserve"> </w:t>
      </w:r>
      <w:r w:rsidR="00033953" w:rsidRPr="002C1A24">
        <w:rPr>
          <w:rFonts w:asciiTheme="minorHAnsi" w:eastAsiaTheme="minorHAnsi" w:hAnsiTheme="minorHAnsi" w:cstheme="minorHAnsi"/>
        </w:rPr>
        <w:t>due to the cost and time over-runs, and disruption the construction work caused to the city centre.</w:t>
      </w:r>
      <w:r w:rsidR="00572DB8" w:rsidRPr="002C1A24">
        <w:rPr>
          <w:rFonts w:asciiTheme="minorHAnsi" w:eastAsiaTheme="minorHAnsi" w:hAnsiTheme="minorHAnsi" w:cstheme="minorHAnsi"/>
        </w:rPr>
        <w:t xml:space="preserve"> </w:t>
      </w:r>
      <w:r w:rsidR="00033953" w:rsidRPr="002C1A24">
        <w:rPr>
          <w:rFonts w:asciiTheme="minorHAnsi" w:eastAsiaTheme="minorHAnsi" w:hAnsiTheme="minorHAnsi" w:cstheme="minorHAnsi"/>
        </w:rPr>
        <w:t>A positive outcome is that the new system</w:t>
      </w:r>
      <w:r w:rsidR="000E6CEA" w:rsidRPr="002C1A24">
        <w:rPr>
          <w:rFonts w:asciiTheme="minorHAnsi" w:eastAsiaTheme="minorHAnsi" w:hAnsiTheme="minorHAnsi" w:cstheme="minorHAnsi"/>
        </w:rPr>
        <w:t xml:space="preserve"> has contributed to 33.</w:t>
      </w:r>
      <w:r w:rsidR="004E4013" w:rsidRPr="002C1A24">
        <w:rPr>
          <w:rFonts w:asciiTheme="minorHAnsi" w:eastAsiaTheme="minorHAnsi" w:hAnsiTheme="minorHAnsi" w:cstheme="minorHAnsi"/>
        </w:rPr>
        <w:t>7</w:t>
      </w:r>
      <w:r w:rsidR="000E6CEA" w:rsidRPr="002C1A24">
        <w:rPr>
          <w:rFonts w:asciiTheme="minorHAnsi" w:eastAsiaTheme="minorHAnsi" w:hAnsiTheme="minorHAnsi" w:cstheme="minorHAnsi"/>
        </w:rPr>
        <w:t>% decrease in carbon dioxide emissions per capita between 2010 and 201</w:t>
      </w:r>
      <w:r w:rsidR="004E4013" w:rsidRPr="002C1A24">
        <w:rPr>
          <w:rFonts w:asciiTheme="minorHAnsi" w:eastAsiaTheme="minorHAnsi" w:hAnsiTheme="minorHAnsi" w:cstheme="minorHAnsi"/>
        </w:rPr>
        <w:t>7</w:t>
      </w:r>
      <w:r w:rsidR="000E6CEA" w:rsidRPr="002C1A24">
        <w:rPr>
          <w:rFonts w:asciiTheme="minorHAnsi" w:eastAsiaTheme="minorHAnsi" w:hAnsiTheme="minorHAnsi" w:cstheme="minorHAnsi"/>
        </w:rPr>
        <w:t xml:space="preserve"> although levels in Edinburgh remain </w:t>
      </w:r>
      <w:r w:rsidR="004E4013" w:rsidRPr="002C1A24">
        <w:rPr>
          <w:rFonts w:asciiTheme="minorHAnsi" w:eastAsiaTheme="minorHAnsi" w:hAnsiTheme="minorHAnsi" w:cstheme="minorHAnsi"/>
        </w:rPr>
        <w:t xml:space="preserve">second </w:t>
      </w:r>
      <w:r w:rsidR="000E6CEA" w:rsidRPr="002C1A24">
        <w:rPr>
          <w:rFonts w:asciiTheme="minorHAnsi" w:eastAsiaTheme="minorHAnsi" w:hAnsiTheme="minorHAnsi" w:cstheme="minorHAnsi"/>
        </w:rPr>
        <w:t>highest out of the major UK cities</w:t>
      </w:r>
      <w:r w:rsidR="00796CDD" w:rsidRPr="002C1A24">
        <w:rPr>
          <w:rFonts w:asciiTheme="minorHAnsi" w:eastAsiaTheme="minorHAnsi" w:hAnsiTheme="minorHAnsi" w:cstheme="minorHAnsi"/>
        </w:rPr>
        <w:t xml:space="preserve"> (The City of Edinburgh, 2019).</w:t>
      </w:r>
      <w:r w:rsidR="00572DB8" w:rsidRPr="002C1A24">
        <w:rPr>
          <w:rFonts w:asciiTheme="minorHAnsi" w:eastAsiaTheme="minorHAnsi" w:hAnsiTheme="minorHAnsi" w:cstheme="minorHAnsi"/>
        </w:rPr>
        <w:t xml:space="preserve"> </w:t>
      </w:r>
      <w:r w:rsidR="009A7579" w:rsidRPr="002C1A24">
        <w:rPr>
          <w:rFonts w:asciiTheme="minorHAnsi" w:eastAsiaTheme="minorHAnsi" w:hAnsiTheme="minorHAnsi" w:cstheme="minorHAnsi"/>
        </w:rPr>
        <w:t xml:space="preserve">Princes Street is also </w:t>
      </w:r>
      <w:r w:rsidR="004F5319" w:rsidRPr="002C1A24">
        <w:rPr>
          <w:rFonts w:asciiTheme="minorHAnsi" w:eastAsiaTheme="minorHAnsi" w:hAnsiTheme="minorHAnsi" w:cstheme="minorHAnsi"/>
        </w:rPr>
        <w:t xml:space="preserve">reasonably </w:t>
      </w:r>
      <w:r w:rsidR="009A7579" w:rsidRPr="002C1A24">
        <w:rPr>
          <w:rFonts w:asciiTheme="minorHAnsi" w:eastAsiaTheme="minorHAnsi" w:hAnsiTheme="minorHAnsi" w:cstheme="minorHAnsi"/>
        </w:rPr>
        <w:t>well served by bus and train services.</w:t>
      </w:r>
      <w:r w:rsidR="00572DB8" w:rsidRPr="002C1A24">
        <w:rPr>
          <w:rFonts w:asciiTheme="minorHAnsi" w:eastAsiaTheme="minorHAnsi" w:hAnsiTheme="minorHAnsi" w:cstheme="minorHAnsi"/>
        </w:rPr>
        <w:t xml:space="preserve"> </w:t>
      </w:r>
      <w:r w:rsidR="009A7579" w:rsidRPr="002C1A24">
        <w:rPr>
          <w:rFonts w:asciiTheme="minorHAnsi" w:eastAsiaTheme="minorHAnsi" w:hAnsiTheme="minorHAnsi" w:cstheme="minorHAnsi"/>
        </w:rPr>
        <w:t>The city’s principal railway station Waverl</w:t>
      </w:r>
      <w:r w:rsidR="00A82F86" w:rsidRPr="002C1A24">
        <w:rPr>
          <w:rFonts w:asciiTheme="minorHAnsi" w:eastAsiaTheme="minorHAnsi" w:hAnsiTheme="minorHAnsi" w:cstheme="minorHAnsi"/>
        </w:rPr>
        <w:t>e</w:t>
      </w:r>
      <w:r w:rsidR="009A7579" w:rsidRPr="002C1A24">
        <w:rPr>
          <w:rFonts w:asciiTheme="minorHAnsi" w:eastAsiaTheme="minorHAnsi" w:hAnsiTheme="minorHAnsi" w:cstheme="minorHAnsi"/>
        </w:rPr>
        <w:t>y is accessible from Princes Street while buses run</w:t>
      </w:r>
      <w:r w:rsidR="004F5319" w:rsidRPr="002C1A24">
        <w:rPr>
          <w:rFonts w:asciiTheme="minorHAnsi" w:eastAsiaTheme="minorHAnsi" w:hAnsiTheme="minorHAnsi" w:cstheme="minorHAnsi"/>
        </w:rPr>
        <w:t xml:space="preserve"> the length of</w:t>
      </w:r>
      <w:r w:rsidR="00572DB8" w:rsidRPr="002C1A24">
        <w:rPr>
          <w:rFonts w:asciiTheme="minorHAnsi" w:eastAsiaTheme="minorHAnsi" w:hAnsiTheme="minorHAnsi" w:cstheme="minorHAnsi"/>
        </w:rPr>
        <w:t xml:space="preserve"> </w:t>
      </w:r>
      <w:r w:rsidR="009A7579" w:rsidRPr="002C1A24">
        <w:rPr>
          <w:rFonts w:asciiTheme="minorHAnsi" w:eastAsiaTheme="minorHAnsi" w:hAnsiTheme="minorHAnsi" w:cstheme="minorHAnsi"/>
        </w:rPr>
        <w:t xml:space="preserve">Princes Street to the bus station which </w:t>
      </w:r>
      <w:r w:rsidR="00A82F86" w:rsidRPr="002C1A24">
        <w:rPr>
          <w:rFonts w:asciiTheme="minorHAnsi" w:eastAsiaTheme="minorHAnsi" w:hAnsiTheme="minorHAnsi" w:cstheme="minorHAnsi"/>
        </w:rPr>
        <w:t xml:space="preserve">is </w:t>
      </w:r>
      <w:r w:rsidR="009A7579" w:rsidRPr="002C1A24">
        <w:rPr>
          <w:rFonts w:asciiTheme="minorHAnsi" w:eastAsiaTheme="minorHAnsi" w:hAnsiTheme="minorHAnsi" w:cstheme="minorHAnsi"/>
        </w:rPr>
        <w:t xml:space="preserve">situated on Elder Street, </w:t>
      </w:r>
      <w:r w:rsidR="004F5319" w:rsidRPr="002C1A24">
        <w:rPr>
          <w:rFonts w:asciiTheme="minorHAnsi" w:eastAsiaTheme="minorHAnsi" w:hAnsiTheme="minorHAnsi" w:cstheme="minorHAnsi"/>
        </w:rPr>
        <w:t xml:space="preserve">to the </w:t>
      </w:r>
      <w:r w:rsidR="009A7579" w:rsidRPr="002C1A24">
        <w:rPr>
          <w:rFonts w:asciiTheme="minorHAnsi" w:eastAsiaTheme="minorHAnsi" w:hAnsiTheme="minorHAnsi" w:cstheme="minorHAnsi"/>
        </w:rPr>
        <w:t>rear of the</w:t>
      </w:r>
      <w:r w:rsidR="00572DB8" w:rsidRPr="002C1A24">
        <w:rPr>
          <w:rFonts w:asciiTheme="minorHAnsi" w:eastAsiaTheme="minorHAnsi" w:hAnsiTheme="minorHAnsi" w:cstheme="minorHAnsi"/>
        </w:rPr>
        <w:t xml:space="preserve"> </w:t>
      </w:r>
      <w:proofErr w:type="spellStart"/>
      <w:r w:rsidR="009A7579" w:rsidRPr="002C1A24">
        <w:rPr>
          <w:rFonts w:asciiTheme="minorHAnsi" w:eastAsiaTheme="minorHAnsi" w:hAnsiTheme="minorHAnsi" w:cstheme="minorHAnsi"/>
        </w:rPr>
        <w:t>Multrees</w:t>
      </w:r>
      <w:proofErr w:type="spellEnd"/>
      <w:r w:rsidR="009A7579" w:rsidRPr="002C1A24">
        <w:rPr>
          <w:rFonts w:asciiTheme="minorHAnsi" w:eastAsiaTheme="minorHAnsi" w:hAnsiTheme="minorHAnsi" w:cstheme="minorHAnsi"/>
        </w:rPr>
        <w:t xml:space="preserve"> Walk.</w:t>
      </w:r>
      <w:r w:rsidR="00572DB8" w:rsidRPr="002C1A24">
        <w:rPr>
          <w:rFonts w:asciiTheme="minorHAnsi" w:eastAsiaTheme="minorHAnsi" w:hAnsiTheme="minorHAnsi" w:cstheme="minorHAnsi"/>
        </w:rPr>
        <w:t xml:space="preserve"> </w:t>
      </w:r>
      <w:r w:rsidRPr="002C1A24">
        <w:rPr>
          <w:rFonts w:asciiTheme="minorHAnsi" w:eastAsiaTheme="minorHAnsi" w:hAnsiTheme="minorHAnsi" w:cstheme="minorHAnsi"/>
        </w:rPr>
        <w:t>Edinburgh</w:t>
      </w:r>
      <w:r w:rsidR="00EA01AE" w:rsidRPr="002C1A24">
        <w:rPr>
          <w:rFonts w:asciiTheme="minorHAnsi" w:eastAsiaTheme="minorHAnsi" w:hAnsiTheme="minorHAnsi" w:cstheme="minorHAnsi"/>
        </w:rPr>
        <w:t xml:space="preserve">, compared with </w:t>
      </w:r>
      <w:r w:rsidR="00A82F86" w:rsidRPr="002C1A24">
        <w:rPr>
          <w:rFonts w:asciiTheme="minorHAnsi" w:eastAsiaTheme="minorHAnsi" w:hAnsiTheme="minorHAnsi" w:cstheme="minorHAnsi"/>
        </w:rPr>
        <w:t xml:space="preserve">other </w:t>
      </w:r>
      <w:r w:rsidR="00EA01AE" w:rsidRPr="002C1A24">
        <w:rPr>
          <w:rFonts w:asciiTheme="minorHAnsi" w:eastAsiaTheme="minorHAnsi" w:hAnsiTheme="minorHAnsi" w:cstheme="minorHAnsi"/>
        </w:rPr>
        <w:t>UK major cities,</w:t>
      </w:r>
      <w:r w:rsidRPr="002C1A24">
        <w:rPr>
          <w:rFonts w:asciiTheme="minorHAnsi" w:eastAsiaTheme="minorHAnsi" w:hAnsiTheme="minorHAnsi" w:cstheme="minorHAnsi"/>
        </w:rPr>
        <w:t xml:space="preserve"> is poorly serve</w:t>
      </w:r>
      <w:r w:rsidR="004F5319" w:rsidRPr="002C1A24">
        <w:rPr>
          <w:rFonts w:asciiTheme="minorHAnsi" w:eastAsiaTheme="minorHAnsi" w:hAnsiTheme="minorHAnsi" w:cstheme="minorHAnsi"/>
        </w:rPr>
        <w:t>d</w:t>
      </w:r>
      <w:r w:rsidRPr="002C1A24">
        <w:rPr>
          <w:rFonts w:asciiTheme="minorHAnsi" w:eastAsiaTheme="minorHAnsi" w:hAnsiTheme="minorHAnsi" w:cstheme="minorHAnsi"/>
        </w:rPr>
        <w:t xml:space="preserve"> in terms of car parking</w:t>
      </w:r>
      <w:r w:rsidR="004F5319" w:rsidRPr="002C1A24">
        <w:rPr>
          <w:rFonts w:asciiTheme="minorHAnsi" w:eastAsiaTheme="minorHAnsi" w:hAnsiTheme="minorHAnsi" w:cstheme="minorHAnsi"/>
        </w:rPr>
        <w:t xml:space="preserve"> with the closure of the car park at St James making the shortage more apparent.</w:t>
      </w:r>
    </w:p>
    <w:p w14:paraId="73D6E6C5" w14:textId="65D25C4C" w:rsidR="008A4A41" w:rsidRPr="008A4A41" w:rsidRDefault="008A4A41" w:rsidP="00A82F86">
      <w:pPr>
        <w:pStyle w:val="NoSpacing"/>
      </w:pPr>
    </w:p>
    <w:p w14:paraId="5498C5CE" w14:textId="619E0BBF" w:rsidR="00AB50F9" w:rsidRPr="0017018A" w:rsidRDefault="009B2374" w:rsidP="00121BD6">
      <w:pPr>
        <w:pStyle w:val="Heading2"/>
        <w:spacing w:line="360" w:lineRule="auto"/>
        <w:rPr>
          <w:rFonts w:asciiTheme="minorHAnsi" w:hAnsiTheme="minorHAnsi" w:cstheme="minorHAnsi"/>
          <w:b/>
          <w:bCs/>
          <w:i/>
          <w:iCs/>
          <w:sz w:val="24"/>
          <w:szCs w:val="24"/>
        </w:rPr>
      </w:pPr>
      <w:r w:rsidRPr="0017018A">
        <w:rPr>
          <w:rFonts w:asciiTheme="minorHAnsi" w:hAnsiTheme="minorHAnsi" w:cstheme="minorHAnsi"/>
          <w:b/>
          <w:bCs/>
          <w:i/>
          <w:iCs/>
          <w:sz w:val="24"/>
          <w:szCs w:val="24"/>
        </w:rPr>
        <w:t>Glasgow</w:t>
      </w:r>
    </w:p>
    <w:p w14:paraId="515A1EFE" w14:textId="516878CD" w:rsidR="00D82828" w:rsidRPr="005748A9" w:rsidRDefault="00853395" w:rsidP="007D3B19">
      <w:pPr>
        <w:spacing w:line="360" w:lineRule="auto"/>
        <w:jc w:val="both"/>
        <w:rPr>
          <w:rFonts w:asciiTheme="minorHAnsi" w:hAnsiTheme="minorHAnsi"/>
          <w:lang w:eastAsia="en-US"/>
        </w:rPr>
      </w:pPr>
      <w:r w:rsidRPr="005748A9">
        <w:rPr>
          <w:rFonts w:asciiTheme="minorHAnsi" w:hAnsiTheme="minorHAnsi"/>
          <w:lang w:eastAsia="en-US"/>
        </w:rPr>
        <w:t>Glasgow is the largest retail centre in Scotland with a wide catchment.</w:t>
      </w:r>
      <w:r w:rsidR="00572DB8" w:rsidRPr="005748A9">
        <w:rPr>
          <w:rFonts w:asciiTheme="minorHAnsi" w:hAnsiTheme="minorHAnsi"/>
          <w:lang w:eastAsia="en-US"/>
        </w:rPr>
        <w:t xml:space="preserve"> </w:t>
      </w:r>
      <w:r w:rsidR="00033953" w:rsidRPr="005748A9">
        <w:rPr>
          <w:rFonts w:asciiTheme="minorHAnsi" w:hAnsiTheme="minorHAnsi"/>
          <w:lang w:eastAsia="en-US"/>
        </w:rPr>
        <w:t>The core retailing are</w:t>
      </w:r>
      <w:r w:rsidR="005748A9">
        <w:rPr>
          <w:rFonts w:asciiTheme="minorHAnsi" w:hAnsiTheme="minorHAnsi"/>
          <w:lang w:eastAsia="en-US"/>
        </w:rPr>
        <w:t>a</w:t>
      </w:r>
      <w:r w:rsidR="00033953" w:rsidRPr="005748A9">
        <w:rPr>
          <w:rFonts w:asciiTheme="minorHAnsi" w:hAnsiTheme="minorHAnsi"/>
          <w:lang w:eastAsia="en-US"/>
        </w:rPr>
        <w:t xml:space="preserve"> under study is the </w:t>
      </w:r>
      <w:r w:rsidR="00B20F92" w:rsidRPr="005748A9">
        <w:rPr>
          <w:rFonts w:asciiTheme="minorHAnsi" w:hAnsiTheme="minorHAnsi"/>
          <w:lang w:eastAsia="en-US"/>
        </w:rPr>
        <w:t>largest at 0.66km</w:t>
      </w:r>
      <w:r w:rsidR="00B20F92" w:rsidRPr="005748A9">
        <w:rPr>
          <w:rFonts w:asciiTheme="minorHAnsi" w:hAnsiTheme="minorHAnsi"/>
          <w:vertAlign w:val="superscript"/>
          <w:lang w:eastAsia="en-US"/>
        </w:rPr>
        <w:t>2</w:t>
      </w:r>
      <w:r w:rsidR="00B20F92" w:rsidRPr="005748A9">
        <w:rPr>
          <w:rFonts w:asciiTheme="minorHAnsi" w:hAnsiTheme="minorHAnsi"/>
          <w:lang w:eastAsia="en-US"/>
        </w:rPr>
        <w:t xml:space="preserve"> (0.255 square miles)</w:t>
      </w:r>
      <w:r w:rsidR="00033953" w:rsidRPr="005748A9">
        <w:rPr>
          <w:rFonts w:asciiTheme="minorHAnsi" w:hAnsiTheme="minorHAnsi"/>
          <w:lang w:eastAsia="en-US"/>
        </w:rPr>
        <w:t xml:space="preserve"> and provides a significant source of employment.</w:t>
      </w:r>
      <w:r w:rsidR="00572DB8" w:rsidRPr="005748A9">
        <w:rPr>
          <w:rFonts w:asciiTheme="minorHAnsi" w:hAnsiTheme="minorHAnsi"/>
          <w:lang w:eastAsia="en-US"/>
        </w:rPr>
        <w:t xml:space="preserve"> </w:t>
      </w:r>
      <w:r w:rsidR="00406F2B" w:rsidRPr="005748A9">
        <w:rPr>
          <w:rFonts w:asciiTheme="minorHAnsi" w:hAnsiTheme="minorHAnsi"/>
          <w:lang w:eastAsia="en-US"/>
        </w:rPr>
        <w:t>Retail (defined as wholesale and retail trade</w:t>
      </w:r>
      <w:r w:rsidR="00B20F92" w:rsidRPr="005748A9">
        <w:rPr>
          <w:rFonts w:asciiTheme="minorHAnsi" w:hAnsiTheme="minorHAnsi"/>
          <w:lang w:eastAsia="en-US"/>
        </w:rPr>
        <w:t>)</w:t>
      </w:r>
      <w:r w:rsidR="00406F2B" w:rsidRPr="005748A9">
        <w:rPr>
          <w:rFonts w:asciiTheme="minorHAnsi" w:hAnsiTheme="minorHAnsi"/>
          <w:lang w:eastAsia="en-US"/>
        </w:rPr>
        <w:t xml:space="preserve"> provides 50,000 jobs in the city which represent</w:t>
      </w:r>
      <w:r w:rsidR="005748A9">
        <w:rPr>
          <w:rFonts w:asciiTheme="minorHAnsi" w:hAnsiTheme="minorHAnsi"/>
          <w:lang w:eastAsia="en-US"/>
        </w:rPr>
        <w:t>ed</w:t>
      </w:r>
      <w:r w:rsidR="00406F2B" w:rsidRPr="005748A9">
        <w:rPr>
          <w:rFonts w:asciiTheme="minorHAnsi" w:hAnsiTheme="minorHAnsi"/>
          <w:lang w:eastAsia="en-US"/>
        </w:rPr>
        <w:t xml:space="preserve"> 12.5% of city employment in 2017.</w:t>
      </w:r>
    </w:p>
    <w:p w14:paraId="53FD482C" w14:textId="46EF5DB8" w:rsidR="00D82828" w:rsidRDefault="00D82828" w:rsidP="007D3B19">
      <w:pPr>
        <w:spacing w:line="360" w:lineRule="auto"/>
        <w:jc w:val="both"/>
        <w:rPr>
          <w:rFonts w:asciiTheme="minorHAnsi" w:hAnsiTheme="minorHAnsi"/>
          <w:lang w:eastAsia="en-US"/>
        </w:rPr>
      </w:pPr>
    </w:p>
    <w:p w14:paraId="472398FA" w14:textId="2A677E3A" w:rsidR="00221750" w:rsidRDefault="00221750" w:rsidP="00221750">
      <w:pPr>
        <w:spacing w:line="360" w:lineRule="auto"/>
        <w:jc w:val="both"/>
        <w:rPr>
          <w:rFonts w:asciiTheme="minorHAnsi" w:hAnsiTheme="minorHAnsi"/>
          <w:lang w:eastAsia="en-US"/>
        </w:rPr>
      </w:pPr>
      <w:r w:rsidRPr="005748A9">
        <w:rPr>
          <w:rFonts w:asciiTheme="minorHAnsi" w:hAnsiTheme="minorHAnsi"/>
          <w:lang w:eastAsia="en-US"/>
        </w:rPr>
        <w:t>City centre retail space is estimated to be above 288,000 m</w:t>
      </w:r>
      <w:r w:rsidRPr="005748A9">
        <w:rPr>
          <w:rFonts w:asciiTheme="minorHAnsi" w:hAnsiTheme="minorHAnsi"/>
          <w:vertAlign w:val="superscript"/>
          <w:lang w:eastAsia="en-US"/>
        </w:rPr>
        <w:t xml:space="preserve">2 </w:t>
      </w:r>
      <w:r w:rsidRPr="005748A9">
        <w:rPr>
          <w:rFonts w:asciiTheme="minorHAnsi" w:hAnsiTheme="minorHAnsi"/>
          <w:lang w:eastAsia="en-US"/>
        </w:rPr>
        <w:t xml:space="preserve">with managed mall space providing a substantial share of this floorspace. The traditional “High Streets” in the city were Argyle and Sauchiehall Streets, now linked by Buchanan Street, form what was referred to as the </w:t>
      </w:r>
      <w:r w:rsidRPr="005748A9">
        <w:rPr>
          <w:rFonts w:asciiTheme="minorHAnsi" w:hAnsiTheme="minorHAnsi"/>
          <w:i/>
          <w:iCs/>
          <w:lang w:eastAsia="en-US"/>
        </w:rPr>
        <w:t>Golden Z</w:t>
      </w:r>
      <w:r w:rsidRPr="005748A9">
        <w:rPr>
          <w:rFonts w:asciiTheme="minorHAnsi" w:hAnsiTheme="minorHAnsi"/>
          <w:lang w:eastAsia="en-US"/>
        </w:rPr>
        <w:t xml:space="preserve"> although more recently has been marketed as </w:t>
      </w:r>
      <w:r w:rsidRPr="005748A9">
        <w:rPr>
          <w:rFonts w:asciiTheme="minorHAnsi" w:hAnsiTheme="minorHAnsi"/>
          <w:i/>
          <w:iCs/>
          <w:lang w:eastAsia="en-US"/>
        </w:rPr>
        <w:t>The Style Mile</w:t>
      </w:r>
      <w:r w:rsidRPr="005748A9">
        <w:rPr>
          <w:rFonts w:asciiTheme="minorHAnsi" w:hAnsiTheme="minorHAnsi"/>
          <w:lang w:eastAsia="en-US"/>
        </w:rPr>
        <w:t xml:space="preserve">. </w:t>
      </w:r>
      <w:r>
        <w:rPr>
          <w:rFonts w:asciiTheme="minorHAnsi" w:hAnsiTheme="minorHAnsi"/>
          <w:lang w:eastAsia="en-US"/>
        </w:rPr>
        <w:t>As shown in Table 2, t</w:t>
      </w:r>
      <w:r w:rsidRPr="005748A9">
        <w:rPr>
          <w:rFonts w:asciiTheme="minorHAnsi" w:hAnsiTheme="minorHAnsi"/>
          <w:lang w:eastAsia="en-US"/>
        </w:rPr>
        <w:t xml:space="preserve">here are </w:t>
      </w:r>
      <w:r>
        <w:rPr>
          <w:rFonts w:asciiTheme="minorHAnsi" w:hAnsiTheme="minorHAnsi"/>
          <w:lang w:eastAsia="en-US"/>
        </w:rPr>
        <w:t>seven</w:t>
      </w:r>
      <w:r w:rsidRPr="005748A9">
        <w:rPr>
          <w:rFonts w:asciiTheme="minorHAnsi" w:hAnsiTheme="minorHAnsi"/>
          <w:lang w:eastAsia="en-US"/>
        </w:rPr>
        <w:t xml:space="preserve"> malls within The </w:t>
      </w:r>
      <w:r w:rsidRPr="005748A9">
        <w:rPr>
          <w:rFonts w:asciiTheme="minorHAnsi" w:hAnsiTheme="minorHAnsi"/>
          <w:i/>
          <w:iCs/>
          <w:lang w:eastAsia="en-US"/>
        </w:rPr>
        <w:t>Style Mile</w:t>
      </w:r>
      <w:r w:rsidRPr="005748A9">
        <w:rPr>
          <w:rFonts w:asciiTheme="minorHAnsi" w:hAnsiTheme="minorHAnsi"/>
          <w:lang w:eastAsia="en-US"/>
        </w:rPr>
        <w:t xml:space="preserve">. Argyll Arcade, </w:t>
      </w:r>
      <w:r>
        <w:rPr>
          <w:rFonts w:asciiTheme="minorHAnsi" w:hAnsiTheme="minorHAnsi"/>
          <w:lang w:eastAsia="en-US"/>
        </w:rPr>
        <w:t xml:space="preserve">a traditional Victoria arcade that </w:t>
      </w:r>
      <w:r w:rsidRPr="005748A9">
        <w:rPr>
          <w:rFonts w:asciiTheme="minorHAnsi" w:hAnsiTheme="minorHAnsi"/>
          <w:lang w:eastAsia="en-US"/>
        </w:rPr>
        <w:t xml:space="preserve">specialises in jewellery while Buchanan Galleries, St Enoch, and Sauchiehall Centre focus on mid-market comparison retailing while the Italian Centre and Princes Square accommodate high-end retailers. The Savoy Centre contains street level units </w:t>
      </w:r>
      <w:r>
        <w:rPr>
          <w:rFonts w:asciiTheme="minorHAnsi" w:hAnsiTheme="minorHAnsi"/>
          <w:lang w:eastAsia="en-US"/>
        </w:rPr>
        <w:t>accommodating</w:t>
      </w:r>
      <w:r w:rsidRPr="005748A9">
        <w:rPr>
          <w:rFonts w:asciiTheme="minorHAnsi" w:hAnsiTheme="minorHAnsi"/>
          <w:lang w:eastAsia="en-US"/>
        </w:rPr>
        <w:t xml:space="preserve"> national multiple retailers</w:t>
      </w:r>
      <w:r>
        <w:rPr>
          <w:rFonts w:asciiTheme="minorHAnsi" w:hAnsiTheme="minorHAnsi"/>
          <w:lang w:eastAsia="en-US"/>
        </w:rPr>
        <w:t>,</w:t>
      </w:r>
      <w:r w:rsidRPr="005748A9">
        <w:rPr>
          <w:rFonts w:asciiTheme="minorHAnsi" w:hAnsiTheme="minorHAnsi"/>
          <w:lang w:eastAsia="en-US"/>
        </w:rPr>
        <w:t xml:space="preserve"> and over two levels of outlets geared toward smaller independent</w:t>
      </w:r>
      <w:r>
        <w:rPr>
          <w:rFonts w:asciiTheme="minorHAnsi" w:hAnsiTheme="minorHAnsi"/>
          <w:lang w:eastAsia="en-US"/>
        </w:rPr>
        <w:t>, local</w:t>
      </w:r>
      <w:r w:rsidRPr="005748A9">
        <w:rPr>
          <w:rFonts w:asciiTheme="minorHAnsi" w:hAnsiTheme="minorHAnsi"/>
          <w:lang w:eastAsia="en-US"/>
        </w:rPr>
        <w:t xml:space="preserve"> retailer</w:t>
      </w:r>
      <w:r>
        <w:rPr>
          <w:rFonts w:asciiTheme="minorHAnsi" w:hAnsiTheme="minorHAnsi"/>
          <w:lang w:eastAsia="en-US"/>
        </w:rPr>
        <w:t xml:space="preserve">s with the ground level repurposed in </w:t>
      </w:r>
      <w:r>
        <w:rPr>
          <w:rFonts w:asciiTheme="minorHAnsi" w:hAnsiTheme="minorHAnsi"/>
          <w:lang w:eastAsia="en-US"/>
        </w:rPr>
        <w:lastRenderedPageBreak/>
        <w:t xml:space="preserve">2019 as the </w:t>
      </w:r>
      <w:proofErr w:type="spellStart"/>
      <w:r>
        <w:rPr>
          <w:rFonts w:asciiTheme="minorHAnsi" w:hAnsiTheme="minorHAnsi"/>
          <w:lang w:eastAsia="en-US"/>
        </w:rPr>
        <w:t>Colab</w:t>
      </w:r>
      <w:proofErr w:type="spellEnd"/>
      <w:r>
        <w:rPr>
          <w:rFonts w:asciiTheme="minorHAnsi" w:hAnsiTheme="minorHAnsi"/>
          <w:lang w:eastAsia="en-US"/>
        </w:rPr>
        <w:t xml:space="preserve"> creative hub</w:t>
      </w:r>
      <w:r w:rsidR="00B07E5C">
        <w:rPr>
          <w:rFonts w:asciiTheme="minorHAnsi" w:hAnsiTheme="minorHAnsi"/>
          <w:lang w:eastAsia="en-US"/>
        </w:rPr>
        <w:t xml:space="preserve"> (although this appears to have closed as a consequence of the pandemic)</w:t>
      </w:r>
      <w:r w:rsidRPr="005748A9">
        <w:rPr>
          <w:rFonts w:asciiTheme="minorHAnsi" w:hAnsiTheme="minorHAnsi"/>
          <w:lang w:eastAsia="en-US"/>
        </w:rPr>
        <w:t>.</w:t>
      </w:r>
    </w:p>
    <w:p w14:paraId="2C5B5597" w14:textId="77777777" w:rsidR="00221750" w:rsidRPr="005748A9" w:rsidRDefault="00221750" w:rsidP="007D3B19">
      <w:pPr>
        <w:spacing w:line="360" w:lineRule="auto"/>
        <w:jc w:val="both"/>
        <w:rPr>
          <w:rFonts w:asciiTheme="minorHAnsi" w:hAnsiTheme="minorHAnsi"/>
          <w:lang w:eastAsia="en-US"/>
        </w:rPr>
      </w:pPr>
    </w:p>
    <w:p w14:paraId="4E4E90DA" w14:textId="5714EB5A" w:rsidR="00853395" w:rsidRPr="00121BD6" w:rsidRDefault="00121BD6" w:rsidP="00C40E72">
      <w:pPr>
        <w:spacing w:line="360" w:lineRule="auto"/>
        <w:rPr>
          <w:rFonts w:asciiTheme="minorHAnsi" w:eastAsiaTheme="minorHAnsi" w:hAnsiTheme="minorHAnsi" w:cstheme="minorHAnsi"/>
          <w:b/>
          <w:bCs/>
          <w:sz w:val="22"/>
          <w:szCs w:val="22"/>
        </w:rPr>
      </w:pPr>
      <w:r w:rsidRPr="00D520EF">
        <w:rPr>
          <w:rFonts w:asciiTheme="minorHAnsi" w:eastAsiaTheme="minorHAnsi" w:hAnsiTheme="minorHAnsi" w:cstheme="minorHAnsi"/>
          <w:b/>
          <w:bCs/>
          <w:sz w:val="22"/>
          <w:szCs w:val="22"/>
        </w:rPr>
        <w:t xml:space="preserve">Table </w:t>
      </w:r>
      <w:r w:rsidR="00177139">
        <w:rPr>
          <w:rFonts w:asciiTheme="minorHAnsi" w:eastAsiaTheme="minorHAnsi" w:hAnsiTheme="minorHAnsi" w:cstheme="minorHAnsi"/>
          <w:b/>
          <w:bCs/>
          <w:sz w:val="22"/>
          <w:szCs w:val="22"/>
        </w:rPr>
        <w:t>2</w:t>
      </w:r>
      <w:r w:rsidRPr="00D520EF">
        <w:rPr>
          <w:rFonts w:asciiTheme="minorHAnsi" w:eastAsiaTheme="minorHAnsi" w:hAnsiTheme="minorHAnsi" w:cstheme="minorHAnsi"/>
          <w:b/>
          <w:bCs/>
          <w:sz w:val="22"/>
          <w:szCs w:val="22"/>
        </w:rPr>
        <w:t>.</w:t>
      </w:r>
      <w:r w:rsidR="00572DB8">
        <w:rPr>
          <w:rFonts w:asciiTheme="minorHAnsi" w:eastAsiaTheme="minorHAnsi" w:hAnsiTheme="minorHAnsi" w:cstheme="minorHAnsi"/>
          <w:b/>
          <w:bCs/>
          <w:sz w:val="22"/>
          <w:szCs w:val="22"/>
        </w:rPr>
        <w:t xml:space="preserve"> </w:t>
      </w:r>
      <w:r w:rsidR="0032572F">
        <w:rPr>
          <w:rFonts w:asciiTheme="minorHAnsi" w:eastAsiaTheme="minorHAnsi" w:hAnsiTheme="minorHAnsi" w:cstheme="minorHAnsi"/>
          <w:b/>
          <w:bCs/>
          <w:sz w:val="22"/>
          <w:szCs w:val="22"/>
        </w:rPr>
        <w:t xml:space="preserve"> </w:t>
      </w:r>
      <w:r w:rsidRPr="00D520EF">
        <w:rPr>
          <w:rFonts w:asciiTheme="minorHAnsi" w:eastAsiaTheme="minorHAnsi" w:hAnsiTheme="minorHAnsi" w:cstheme="minorHAnsi"/>
          <w:b/>
          <w:bCs/>
          <w:sz w:val="22"/>
          <w:szCs w:val="22"/>
        </w:rPr>
        <w:t xml:space="preserve">Retail Floorspace in </w:t>
      </w:r>
      <w:r>
        <w:rPr>
          <w:rFonts w:asciiTheme="minorHAnsi" w:eastAsiaTheme="minorHAnsi" w:hAnsiTheme="minorHAnsi" w:cstheme="minorHAnsi"/>
          <w:b/>
          <w:bCs/>
          <w:sz w:val="22"/>
          <w:szCs w:val="22"/>
        </w:rPr>
        <w:t>Glasgow</w:t>
      </w:r>
    </w:p>
    <w:tbl>
      <w:tblPr>
        <w:tblW w:w="9710" w:type="dxa"/>
        <w:tblLook w:val="04A0" w:firstRow="1" w:lastRow="0" w:firstColumn="1" w:lastColumn="0" w:noHBand="0" w:noVBand="1"/>
      </w:tblPr>
      <w:tblGrid>
        <w:gridCol w:w="2561"/>
        <w:gridCol w:w="1326"/>
        <w:gridCol w:w="1385"/>
        <w:gridCol w:w="1455"/>
        <w:gridCol w:w="2983"/>
      </w:tblGrid>
      <w:tr w:rsidR="002C4DD7" w:rsidRPr="00AE050F" w14:paraId="5DC99E4F" w14:textId="77777777" w:rsidTr="003B44A8">
        <w:trPr>
          <w:trHeight w:val="567"/>
        </w:trPr>
        <w:tc>
          <w:tcPr>
            <w:tcW w:w="2561" w:type="dxa"/>
            <w:vMerge w:val="restart"/>
            <w:tcBorders>
              <w:top w:val="triple" w:sz="4" w:space="0" w:color="548DD4" w:themeColor="text2" w:themeTint="99"/>
              <w:left w:val="triple" w:sz="4" w:space="0" w:color="548DD4" w:themeColor="text2" w:themeTint="99"/>
              <w:bottom w:val="single" w:sz="4" w:space="0" w:color="548DD4" w:themeColor="text2" w:themeTint="99"/>
              <w:right w:val="dashSmallGap" w:sz="2" w:space="0" w:color="548DD4" w:themeColor="text2" w:themeTint="99"/>
            </w:tcBorders>
            <w:shd w:val="clear" w:color="auto" w:fill="8DB3E2" w:themeFill="text2" w:themeFillTint="66"/>
            <w:vAlign w:val="center"/>
            <w:hideMark/>
          </w:tcPr>
          <w:p w14:paraId="135B7D1B" w14:textId="58168E1D" w:rsidR="002C4DD7" w:rsidRPr="00AE050F" w:rsidRDefault="003B44A8" w:rsidP="00B15FBD">
            <w:pPr>
              <w:ind w:firstLine="142"/>
              <w:jc w:val="center"/>
              <w:rPr>
                <w:rFonts w:ascii="Calibri" w:hAnsi="Calibri"/>
                <w:b/>
                <w:bCs/>
                <w:color w:val="000000"/>
                <w:sz w:val="22"/>
                <w:szCs w:val="22"/>
              </w:rPr>
            </w:pPr>
            <w:r>
              <w:rPr>
                <w:rFonts w:ascii="Calibri" w:hAnsi="Calibri"/>
                <w:b/>
                <w:bCs/>
                <w:color w:val="000000"/>
                <w:sz w:val="22"/>
                <w:szCs w:val="22"/>
              </w:rPr>
              <w:t>Types of Floorspace</w:t>
            </w:r>
          </w:p>
        </w:tc>
        <w:tc>
          <w:tcPr>
            <w:tcW w:w="1326" w:type="dxa"/>
            <w:vMerge w:val="restart"/>
            <w:tcBorders>
              <w:top w:val="triple" w:sz="4" w:space="0" w:color="548DD4" w:themeColor="text2" w:themeTint="99"/>
              <w:left w:val="dashSmallGap" w:sz="2" w:space="0" w:color="548DD4" w:themeColor="text2" w:themeTint="99"/>
              <w:bottom w:val="single" w:sz="4" w:space="0" w:color="548DD4" w:themeColor="text2" w:themeTint="99"/>
              <w:right w:val="dashSmallGap" w:sz="2" w:space="0" w:color="548DD4" w:themeColor="text2" w:themeTint="99"/>
            </w:tcBorders>
            <w:shd w:val="clear" w:color="auto" w:fill="8DB3E2" w:themeFill="text2" w:themeFillTint="66"/>
            <w:vAlign w:val="center"/>
            <w:hideMark/>
          </w:tcPr>
          <w:p w14:paraId="37DB298F" w14:textId="77777777" w:rsidR="002C4DD7" w:rsidRPr="00AE050F" w:rsidRDefault="002C4DD7" w:rsidP="00B15FBD">
            <w:pPr>
              <w:ind w:firstLine="142"/>
              <w:jc w:val="center"/>
              <w:rPr>
                <w:rFonts w:ascii="Calibri" w:hAnsi="Calibri"/>
                <w:b/>
                <w:bCs/>
                <w:color w:val="000000"/>
                <w:sz w:val="22"/>
                <w:szCs w:val="22"/>
              </w:rPr>
            </w:pPr>
            <w:r w:rsidRPr="00AE050F">
              <w:rPr>
                <w:rFonts w:ascii="Calibri" w:hAnsi="Calibri"/>
                <w:b/>
                <w:bCs/>
                <w:color w:val="000000"/>
                <w:sz w:val="22"/>
                <w:szCs w:val="22"/>
              </w:rPr>
              <w:t>Estimated Floor Area</w:t>
            </w:r>
          </w:p>
        </w:tc>
        <w:tc>
          <w:tcPr>
            <w:tcW w:w="1385" w:type="dxa"/>
            <w:vMerge w:val="restart"/>
            <w:tcBorders>
              <w:top w:val="triple" w:sz="4" w:space="0" w:color="548DD4" w:themeColor="text2" w:themeTint="99"/>
              <w:left w:val="dashSmallGap" w:sz="2" w:space="0" w:color="548DD4" w:themeColor="text2" w:themeTint="99"/>
              <w:bottom w:val="single" w:sz="4" w:space="0" w:color="548DD4" w:themeColor="text2" w:themeTint="99"/>
              <w:right w:val="dashSmallGap" w:sz="2" w:space="0" w:color="548DD4" w:themeColor="text2" w:themeTint="99"/>
            </w:tcBorders>
            <w:shd w:val="clear" w:color="auto" w:fill="8DB3E2" w:themeFill="text2" w:themeFillTint="66"/>
            <w:vAlign w:val="center"/>
            <w:hideMark/>
          </w:tcPr>
          <w:p w14:paraId="6DD627FE" w14:textId="6EDEA98B" w:rsidR="002C4DD7" w:rsidRPr="00AE050F" w:rsidRDefault="002C4DD7" w:rsidP="00B15FBD">
            <w:pPr>
              <w:ind w:firstLine="142"/>
              <w:jc w:val="center"/>
              <w:rPr>
                <w:rFonts w:ascii="Calibri" w:hAnsi="Calibri"/>
                <w:b/>
                <w:bCs/>
                <w:color w:val="000000"/>
                <w:sz w:val="22"/>
                <w:szCs w:val="22"/>
              </w:rPr>
            </w:pPr>
            <w:r w:rsidRPr="00AE050F">
              <w:rPr>
                <w:rFonts w:ascii="Calibri" w:hAnsi="Calibri" w:cstheme="minorHAnsi"/>
                <w:b/>
                <w:bCs/>
                <w:color w:val="000000"/>
                <w:sz w:val="22"/>
                <w:szCs w:val="22"/>
              </w:rPr>
              <w:t xml:space="preserve">2017/18 </w:t>
            </w:r>
            <w:r w:rsidR="003B44A8">
              <w:rPr>
                <w:rFonts w:ascii="Calibri" w:hAnsi="Calibri" w:cstheme="minorHAnsi"/>
                <w:b/>
                <w:bCs/>
                <w:color w:val="000000"/>
                <w:sz w:val="22"/>
                <w:szCs w:val="22"/>
              </w:rPr>
              <w:t>S</w:t>
            </w:r>
            <w:r w:rsidRPr="00AE050F">
              <w:rPr>
                <w:rFonts w:ascii="Calibri" w:hAnsi="Calibri" w:cstheme="minorHAnsi"/>
                <w:b/>
                <w:bCs/>
                <w:color w:val="000000"/>
                <w:sz w:val="22"/>
                <w:szCs w:val="22"/>
              </w:rPr>
              <w:t xml:space="preserve">ize </w:t>
            </w:r>
            <w:r w:rsidR="003B44A8">
              <w:rPr>
                <w:rFonts w:ascii="Calibri" w:hAnsi="Calibri" w:cstheme="minorHAnsi"/>
                <w:b/>
                <w:bCs/>
                <w:color w:val="000000"/>
                <w:sz w:val="22"/>
                <w:szCs w:val="22"/>
              </w:rPr>
              <w:t>(</w:t>
            </w:r>
            <w:r w:rsidRPr="00AE050F">
              <w:rPr>
                <w:rFonts w:ascii="Calibri" w:hAnsi="Calibri" w:cstheme="minorHAnsi"/>
                <w:b/>
                <w:bCs/>
                <w:color w:val="000000"/>
                <w:sz w:val="22"/>
                <w:szCs w:val="22"/>
              </w:rPr>
              <w:t>square metre</w:t>
            </w:r>
            <w:r w:rsidR="003B44A8">
              <w:rPr>
                <w:rFonts w:ascii="Calibri" w:hAnsi="Calibri" w:cstheme="minorHAnsi"/>
                <w:b/>
                <w:bCs/>
                <w:color w:val="000000"/>
                <w:sz w:val="22"/>
                <w:szCs w:val="22"/>
              </w:rPr>
              <w:t>)</w:t>
            </w:r>
          </w:p>
        </w:tc>
        <w:tc>
          <w:tcPr>
            <w:tcW w:w="1455" w:type="dxa"/>
            <w:vMerge w:val="restart"/>
            <w:tcBorders>
              <w:top w:val="triple" w:sz="4" w:space="0" w:color="548DD4" w:themeColor="text2" w:themeTint="99"/>
              <w:left w:val="dashSmallGap" w:sz="2" w:space="0" w:color="548DD4" w:themeColor="text2" w:themeTint="99"/>
              <w:bottom w:val="single" w:sz="4" w:space="0" w:color="548DD4" w:themeColor="text2" w:themeTint="99"/>
              <w:right w:val="dashSmallGap" w:sz="2" w:space="0" w:color="548DD4" w:themeColor="text2" w:themeTint="99"/>
            </w:tcBorders>
            <w:shd w:val="clear" w:color="auto" w:fill="8DB3E2" w:themeFill="text2" w:themeFillTint="66"/>
            <w:vAlign w:val="center"/>
            <w:hideMark/>
          </w:tcPr>
          <w:p w14:paraId="4BC91B55" w14:textId="1B5EBD81" w:rsidR="002C4DD7" w:rsidRPr="00AE050F" w:rsidRDefault="003B44A8" w:rsidP="00B15FBD">
            <w:pPr>
              <w:ind w:firstLine="142"/>
              <w:jc w:val="center"/>
              <w:rPr>
                <w:rFonts w:ascii="Calibri" w:hAnsi="Calibri"/>
                <w:b/>
                <w:bCs/>
                <w:color w:val="000000"/>
                <w:sz w:val="22"/>
                <w:szCs w:val="22"/>
              </w:rPr>
            </w:pPr>
            <w:r>
              <w:rPr>
                <w:rFonts w:ascii="Calibri" w:hAnsi="Calibri" w:cstheme="minorHAnsi"/>
                <w:b/>
                <w:bCs/>
                <w:color w:val="000000"/>
                <w:sz w:val="22"/>
                <w:szCs w:val="22"/>
              </w:rPr>
              <w:t>Mall</w:t>
            </w:r>
            <w:r w:rsidR="002C4DD7" w:rsidRPr="00AE050F">
              <w:rPr>
                <w:rFonts w:ascii="Calibri" w:hAnsi="Calibri" w:cstheme="minorHAnsi"/>
                <w:b/>
                <w:bCs/>
                <w:color w:val="000000"/>
                <w:sz w:val="22"/>
                <w:szCs w:val="22"/>
              </w:rPr>
              <w:t xml:space="preserve"> </w:t>
            </w:r>
            <w:r>
              <w:rPr>
                <w:rFonts w:ascii="Calibri" w:hAnsi="Calibri" w:cstheme="minorHAnsi"/>
                <w:b/>
                <w:bCs/>
                <w:color w:val="000000"/>
                <w:sz w:val="22"/>
                <w:szCs w:val="22"/>
              </w:rPr>
              <w:t>O</w:t>
            </w:r>
            <w:r w:rsidR="002C4DD7" w:rsidRPr="00AE050F">
              <w:rPr>
                <w:rFonts w:ascii="Calibri" w:hAnsi="Calibri" w:cstheme="minorHAnsi"/>
                <w:b/>
                <w:bCs/>
                <w:color w:val="000000"/>
                <w:sz w:val="22"/>
                <w:szCs w:val="22"/>
              </w:rPr>
              <w:t>pening</w:t>
            </w:r>
          </w:p>
        </w:tc>
        <w:tc>
          <w:tcPr>
            <w:tcW w:w="2983" w:type="dxa"/>
            <w:vMerge w:val="restart"/>
            <w:tcBorders>
              <w:top w:val="triple" w:sz="4" w:space="0" w:color="548DD4" w:themeColor="text2" w:themeTint="99"/>
              <w:left w:val="dashSmallGap" w:sz="2" w:space="0" w:color="548DD4" w:themeColor="text2" w:themeTint="99"/>
              <w:bottom w:val="single" w:sz="4" w:space="0" w:color="548DD4" w:themeColor="text2" w:themeTint="99"/>
              <w:right w:val="triple" w:sz="4" w:space="0" w:color="548DD4" w:themeColor="text2" w:themeTint="99"/>
            </w:tcBorders>
            <w:shd w:val="clear" w:color="auto" w:fill="8DB3E2" w:themeFill="text2" w:themeFillTint="66"/>
            <w:vAlign w:val="center"/>
            <w:hideMark/>
          </w:tcPr>
          <w:p w14:paraId="7D2A609F" w14:textId="77777777" w:rsidR="002C4DD7" w:rsidRPr="00AE050F" w:rsidRDefault="002C4DD7" w:rsidP="00B15FBD">
            <w:pPr>
              <w:ind w:firstLine="142"/>
              <w:jc w:val="center"/>
              <w:rPr>
                <w:rFonts w:ascii="Calibri" w:hAnsi="Calibri"/>
                <w:b/>
                <w:bCs/>
                <w:color w:val="000000"/>
                <w:sz w:val="22"/>
                <w:szCs w:val="22"/>
              </w:rPr>
            </w:pPr>
            <w:r w:rsidRPr="00AE050F">
              <w:rPr>
                <w:rFonts w:ascii="Calibri" w:hAnsi="Calibri"/>
                <w:b/>
                <w:bCs/>
                <w:color w:val="000000"/>
                <w:sz w:val="22"/>
                <w:szCs w:val="22"/>
              </w:rPr>
              <w:t>Refurbishment/Extension</w:t>
            </w:r>
          </w:p>
        </w:tc>
      </w:tr>
      <w:tr w:rsidR="002C4DD7" w:rsidRPr="00AE050F" w14:paraId="16B74E6F" w14:textId="77777777" w:rsidTr="003B44A8">
        <w:trPr>
          <w:trHeight w:val="517"/>
        </w:trPr>
        <w:tc>
          <w:tcPr>
            <w:tcW w:w="2561" w:type="dxa"/>
            <w:vMerge/>
            <w:tcBorders>
              <w:top w:val="dashSmallGap" w:sz="18" w:space="0" w:color="548DD4" w:themeColor="text2" w:themeTint="99"/>
              <w:left w:val="triple" w:sz="4" w:space="0" w:color="548DD4" w:themeColor="text2" w:themeTint="99"/>
              <w:bottom w:val="single" w:sz="4" w:space="0" w:color="548DD4" w:themeColor="text2" w:themeTint="99"/>
              <w:right w:val="dashSmallGap" w:sz="2" w:space="0" w:color="548DD4" w:themeColor="text2" w:themeTint="99"/>
            </w:tcBorders>
            <w:shd w:val="clear" w:color="auto" w:fill="8DB3E2" w:themeFill="text2" w:themeFillTint="66"/>
            <w:vAlign w:val="center"/>
            <w:hideMark/>
          </w:tcPr>
          <w:p w14:paraId="1ACB21EE" w14:textId="77777777" w:rsidR="002C4DD7" w:rsidRPr="00AE050F" w:rsidRDefault="002C4DD7" w:rsidP="00B15FBD">
            <w:pPr>
              <w:ind w:firstLine="142"/>
              <w:rPr>
                <w:rFonts w:ascii="Calibri" w:hAnsi="Calibri"/>
                <w:b/>
                <w:bCs/>
                <w:color w:val="000000"/>
                <w:sz w:val="22"/>
                <w:szCs w:val="22"/>
              </w:rPr>
            </w:pPr>
          </w:p>
        </w:tc>
        <w:tc>
          <w:tcPr>
            <w:tcW w:w="1326" w:type="dxa"/>
            <w:vMerge/>
            <w:tcBorders>
              <w:top w:val="dashSmallGap" w:sz="18" w:space="0" w:color="548DD4" w:themeColor="text2" w:themeTint="99"/>
              <w:left w:val="dashSmallGap" w:sz="2" w:space="0" w:color="548DD4" w:themeColor="text2" w:themeTint="99"/>
              <w:bottom w:val="single" w:sz="4" w:space="0" w:color="548DD4" w:themeColor="text2" w:themeTint="99"/>
              <w:right w:val="dashSmallGap" w:sz="2" w:space="0" w:color="548DD4" w:themeColor="text2" w:themeTint="99"/>
            </w:tcBorders>
            <w:shd w:val="clear" w:color="auto" w:fill="8DB3E2" w:themeFill="text2" w:themeFillTint="66"/>
            <w:vAlign w:val="center"/>
            <w:hideMark/>
          </w:tcPr>
          <w:p w14:paraId="7DE16A25" w14:textId="77777777" w:rsidR="002C4DD7" w:rsidRPr="00AE050F" w:rsidRDefault="002C4DD7" w:rsidP="00B15FBD">
            <w:pPr>
              <w:ind w:firstLine="142"/>
              <w:jc w:val="center"/>
              <w:rPr>
                <w:rFonts w:ascii="Calibri" w:hAnsi="Calibri"/>
                <w:b/>
                <w:bCs/>
                <w:color w:val="000000"/>
                <w:sz w:val="22"/>
                <w:szCs w:val="22"/>
              </w:rPr>
            </w:pPr>
          </w:p>
        </w:tc>
        <w:tc>
          <w:tcPr>
            <w:tcW w:w="1385" w:type="dxa"/>
            <w:vMerge/>
            <w:tcBorders>
              <w:top w:val="dashSmallGap" w:sz="18" w:space="0" w:color="548DD4" w:themeColor="text2" w:themeTint="99"/>
              <w:left w:val="dashSmallGap" w:sz="2" w:space="0" w:color="548DD4" w:themeColor="text2" w:themeTint="99"/>
              <w:bottom w:val="single" w:sz="4" w:space="0" w:color="548DD4" w:themeColor="text2" w:themeTint="99"/>
              <w:right w:val="dashSmallGap" w:sz="2" w:space="0" w:color="548DD4" w:themeColor="text2" w:themeTint="99"/>
            </w:tcBorders>
            <w:shd w:val="clear" w:color="auto" w:fill="8DB3E2" w:themeFill="text2" w:themeFillTint="66"/>
            <w:vAlign w:val="center"/>
            <w:hideMark/>
          </w:tcPr>
          <w:p w14:paraId="4BB2009B" w14:textId="77777777" w:rsidR="002C4DD7" w:rsidRPr="00AE050F" w:rsidRDefault="002C4DD7" w:rsidP="00B15FBD">
            <w:pPr>
              <w:ind w:firstLine="142"/>
              <w:rPr>
                <w:rFonts w:ascii="Calibri" w:hAnsi="Calibri"/>
                <w:b/>
                <w:bCs/>
                <w:color w:val="000000"/>
                <w:sz w:val="22"/>
                <w:szCs w:val="22"/>
              </w:rPr>
            </w:pPr>
          </w:p>
        </w:tc>
        <w:tc>
          <w:tcPr>
            <w:tcW w:w="1455" w:type="dxa"/>
            <w:vMerge/>
            <w:tcBorders>
              <w:top w:val="dashSmallGap" w:sz="18" w:space="0" w:color="548DD4" w:themeColor="text2" w:themeTint="99"/>
              <w:left w:val="dashSmallGap" w:sz="2" w:space="0" w:color="548DD4" w:themeColor="text2" w:themeTint="99"/>
              <w:bottom w:val="single" w:sz="4" w:space="0" w:color="548DD4" w:themeColor="text2" w:themeTint="99"/>
              <w:right w:val="dashSmallGap" w:sz="2" w:space="0" w:color="548DD4" w:themeColor="text2" w:themeTint="99"/>
            </w:tcBorders>
            <w:shd w:val="clear" w:color="auto" w:fill="8DB3E2" w:themeFill="text2" w:themeFillTint="66"/>
            <w:vAlign w:val="center"/>
            <w:hideMark/>
          </w:tcPr>
          <w:p w14:paraId="06CE1B32" w14:textId="77777777" w:rsidR="002C4DD7" w:rsidRPr="00AE050F" w:rsidRDefault="002C4DD7" w:rsidP="00B15FBD">
            <w:pPr>
              <w:ind w:firstLine="142"/>
              <w:rPr>
                <w:rFonts w:ascii="Calibri" w:hAnsi="Calibri"/>
                <w:b/>
                <w:bCs/>
                <w:color w:val="000000"/>
                <w:sz w:val="22"/>
                <w:szCs w:val="22"/>
              </w:rPr>
            </w:pPr>
          </w:p>
        </w:tc>
        <w:tc>
          <w:tcPr>
            <w:tcW w:w="2983" w:type="dxa"/>
            <w:vMerge/>
            <w:tcBorders>
              <w:top w:val="dashSmallGap" w:sz="18" w:space="0" w:color="548DD4" w:themeColor="text2" w:themeTint="99"/>
              <w:left w:val="dashSmallGap" w:sz="2" w:space="0" w:color="548DD4" w:themeColor="text2" w:themeTint="99"/>
              <w:bottom w:val="single" w:sz="4" w:space="0" w:color="548DD4" w:themeColor="text2" w:themeTint="99"/>
              <w:right w:val="triple" w:sz="4" w:space="0" w:color="548DD4" w:themeColor="text2" w:themeTint="99"/>
            </w:tcBorders>
            <w:shd w:val="clear" w:color="auto" w:fill="8DB3E2" w:themeFill="text2" w:themeFillTint="66"/>
            <w:vAlign w:val="center"/>
            <w:hideMark/>
          </w:tcPr>
          <w:p w14:paraId="2BF5FB52" w14:textId="77777777" w:rsidR="002C4DD7" w:rsidRPr="00AE050F" w:rsidRDefault="002C4DD7" w:rsidP="00B15FBD">
            <w:pPr>
              <w:ind w:firstLine="142"/>
              <w:rPr>
                <w:rFonts w:ascii="Calibri" w:hAnsi="Calibri"/>
                <w:b/>
                <w:bCs/>
                <w:color w:val="000000"/>
                <w:sz w:val="22"/>
                <w:szCs w:val="22"/>
              </w:rPr>
            </w:pPr>
          </w:p>
        </w:tc>
      </w:tr>
      <w:tr w:rsidR="002C4DD7" w:rsidRPr="00AE050F" w14:paraId="2F7D2068" w14:textId="77777777" w:rsidTr="003B44A8">
        <w:trPr>
          <w:trHeight w:val="340"/>
        </w:trPr>
        <w:tc>
          <w:tcPr>
            <w:tcW w:w="9710" w:type="dxa"/>
            <w:gridSpan w:val="5"/>
            <w:tcBorders>
              <w:top w:val="single" w:sz="4" w:space="0" w:color="548DD4" w:themeColor="text2" w:themeTint="99"/>
              <w:left w:val="triple" w:sz="4" w:space="0" w:color="548DD4" w:themeColor="text2" w:themeTint="99"/>
              <w:bottom w:val="single" w:sz="2" w:space="0" w:color="548DD4" w:themeColor="text2" w:themeTint="99"/>
              <w:right w:val="triple" w:sz="4" w:space="0" w:color="548DD4" w:themeColor="text2" w:themeTint="99"/>
            </w:tcBorders>
            <w:shd w:val="clear" w:color="auto" w:fill="auto"/>
            <w:vAlign w:val="center"/>
            <w:hideMark/>
          </w:tcPr>
          <w:p w14:paraId="1148C368" w14:textId="77777777" w:rsidR="002C4DD7" w:rsidRPr="00AE050F" w:rsidRDefault="002C4DD7" w:rsidP="00B15FBD">
            <w:pPr>
              <w:ind w:firstLine="142"/>
              <w:jc w:val="center"/>
              <w:rPr>
                <w:rFonts w:ascii="Calibri" w:hAnsi="Calibri"/>
                <w:b/>
                <w:bCs/>
                <w:color w:val="000000"/>
                <w:sz w:val="22"/>
                <w:szCs w:val="22"/>
              </w:rPr>
            </w:pPr>
            <w:r w:rsidRPr="00AE050F">
              <w:rPr>
                <w:rFonts w:ascii="Calibri" w:hAnsi="Calibri" w:cstheme="minorHAnsi"/>
                <w:b/>
                <w:bCs/>
                <w:color w:val="000000"/>
                <w:sz w:val="22"/>
                <w:szCs w:val="22"/>
              </w:rPr>
              <w:t>Metropolitan Centre</w:t>
            </w:r>
            <w:r>
              <w:rPr>
                <w:rFonts w:ascii="Calibri" w:hAnsi="Calibri" w:cstheme="minorHAnsi"/>
                <w:b/>
                <w:bCs/>
                <w:color w:val="000000"/>
                <w:sz w:val="22"/>
                <w:szCs w:val="22"/>
              </w:rPr>
              <w:t xml:space="preserve"> – Glasgow</w:t>
            </w:r>
          </w:p>
        </w:tc>
      </w:tr>
      <w:tr w:rsidR="002C4DD7" w:rsidRPr="00AE050F" w14:paraId="4D009F34" w14:textId="77777777" w:rsidTr="003B44A8">
        <w:trPr>
          <w:trHeight w:val="320"/>
        </w:trPr>
        <w:tc>
          <w:tcPr>
            <w:tcW w:w="2561" w:type="dxa"/>
            <w:tcBorders>
              <w:top w:val="single" w:sz="2" w:space="0" w:color="548DD4" w:themeColor="text2" w:themeTint="99"/>
              <w:left w:val="triple"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6E511563" w14:textId="027D8476" w:rsidR="002C4DD7" w:rsidRPr="00AE050F" w:rsidRDefault="003B44A8" w:rsidP="003B44A8">
            <w:pPr>
              <w:ind w:firstLineChars="4" w:firstLine="9"/>
              <w:rPr>
                <w:rFonts w:ascii="Calibri" w:hAnsi="Calibri"/>
                <w:b/>
                <w:bCs/>
                <w:i/>
                <w:iCs/>
                <w:color w:val="000000"/>
                <w:sz w:val="22"/>
                <w:szCs w:val="22"/>
              </w:rPr>
            </w:pPr>
            <w:r>
              <w:rPr>
                <w:rFonts w:ascii="Calibri" w:hAnsi="Calibri"/>
                <w:b/>
                <w:bCs/>
                <w:i/>
                <w:iCs/>
                <w:color w:val="000000"/>
                <w:sz w:val="22"/>
                <w:szCs w:val="22"/>
              </w:rPr>
              <w:t>“High Street” units</w:t>
            </w:r>
          </w:p>
        </w:tc>
        <w:tc>
          <w:tcPr>
            <w:tcW w:w="1326" w:type="dxa"/>
            <w:tcBorders>
              <w:top w:val="single" w:sz="2"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37AE6E7A" w14:textId="2BC6AC90" w:rsidR="002C4DD7" w:rsidRPr="00A31097" w:rsidRDefault="00A31097" w:rsidP="00B15FBD">
            <w:pPr>
              <w:ind w:firstLine="142"/>
              <w:jc w:val="center"/>
              <w:rPr>
                <w:rFonts w:ascii="Calibri" w:hAnsi="Calibri"/>
                <w:b/>
                <w:bCs/>
                <w:color w:val="000000"/>
                <w:sz w:val="22"/>
                <w:szCs w:val="22"/>
              </w:rPr>
            </w:pPr>
            <w:r w:rsidRPr="00A31097">
              <w:rPr>
                <w:rFonts w:ascii="Calibri" w:hAnsi="Calibri"/>
                <w:b/>
                <w:bCs/>
                <w:color w:val="000000"/>
                <w:sz w:val="22"/>
                <w:szCs w:val="22"/>
              </w:rPr>
              <w:t>77,983</w:t>
            </w:r>
          </w:p>
        </w:tc>
        <w:tc>
          <w:tcPr>
            <w:tcW w:w="1385" w:type="dxa"/>
            <w:tcBorders>
              <w:top w:val="single" w:sz="2"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noWrap/>
            <w:vAlign w:val="bottom"/>
            <w:hideMark/>
          </w:tcPr>
          <w:p w14:paraId="39D10D5F" w14:textId="77777777" w:rsidR="002C4DD7" w:rsidRPr="00AE050F" w:rsidRDefault="002C4DD7" w:rsidP="00B15FBD">
            <w:pPr>
              <w:ind w:firstLine="142"/>
              <w:jc w:val="center"/>
              <w:rPr>
                <w:rFonts w:ascii="Calibri" w:hAnsi="Calibri"/>
                <w:color w:val="000000"/>
                <w:sz w:val="22"/>
                <w:szCs w:val="22"/>
              </w:rPr>
            </w:pPr>
          </w:p>
        </w:tc>
        <w:tc>
          <w:tcPr>
            <w:tcW w:w="1455" w:type="dxa"/>
            <w:tcBorders>
              <w:top w:val="single" w:sz="2"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23FAC131" w14:textId="77777777" w:rsidR="002C4DD7" w:rsidRPr="00AE050F" w:rsidRDefault="002C4DD7" w:rsidP="00B15FBD">
            <w:pPr>
              <w:ind w:firstLine="142"/>
              <w:jc w:val="center"/>
              <w:rPr>
                <w:rFonts w:ascii="Calibri" w:hAnsi="Calibri"/>
                <w:b/>
                <w:bCs/>
                <w:i/>
                <w:iCs/>
                <w:color w:val="000000"/>
                <w:sz w:val="22"/>
                <w:szCs w:val="22"/>
              </w:rPr>
            </w:pPr>
          </w:p>
        </w:tc>
        <w:tc>
          <w:tcPr>
            <w:tcW w:w="2983" w:type="dxa"/>
            <w:tcBorders>
              <w:top w:val="single" w:sz="2" w:space="0" w:color="548DD4" w:themeColor="text2" w:themeTint="99"/>
              <w:left w:val="dashSmallGap" w:sz="4" w:space="0" w:color="548DD4" w:themeColor="text2" w:themeTint="99"/>
              <w:bottom w:val="dashSmallGap" w:sz="4" w:space="0" w:color="548DD4" w:themeColor="text2" w:themeTint="99"/>
              <w:right w:val="triple" w:sz="4" w:space="0" w:color="548DD4" w:themeColor="text2" w:themeTint="99"/>
            </w:tcBorders>
            <w:shd w:val="clear" w:color="auto" w:fill="auto"/>
            <w:vAlign w:val="center"/>
            <w:hideMark/>
          </w:tcPr>
          <w:p w14:paraId="65D239CF" w14:textId="77777777" w:rsidR="002C4DD7" w:rsidRPr="00AE050F" w:rsidRDefault="002C4DD7" w:rsidP="00B15FBD">
            <w:pPr>
              <w:ind w:leftChars="-15" w:left="-1" w:hangingChars="16" w:hanging="35"/>
              <w:rPr>
                <w:rFonts w:ascii="Calibri" w:hAnsi="Calibri"/>
                <w:color w:val="000000"/>
                <w:sz w:val="22"/>
                <w:szCs w:val="22"/>
              </w:rPr>
            </w:pPr>
          </w:p>
        </w:tc>
      </w:tr>
      <w:tr w:rsidR="002C4DD7" w:rsidRPr="00AE050F" w14:paraId="2D6F743D" w14:textId="77777777" w:rsidTr="003B44A8">
        <w:trPr>
          <w:trHeight w:val="320"/>
        </w:trPr>
        <w:tc>
          <w:tcPr>
            <w:tcW w:w="2561" w:type="dxa"/>
            <w:tcBorders>
              <w:top w:val="dashSmallGap" w:sz="4" w:space="0" w:color="548DD4" w:themeColor="text2" w:themeTint="99"/>
              <w:left w:val="triple"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2BE86209" w14:textId="77777777" w:rsidR="002C4DD7" w:rsidRPr="00AE050F" w:rsidRDefault="002C4DD7" w:rsidP="003B44A8">
            <w:pPr>
              <w:ind w:firstLineChars="4" w:firstLine="9"/>
              <w:rPr>
                <w:rFonts w:ascii="Calibri" w:hAnsi="Calibri"/>
                <w:color w:val="000000"/>
                <w:sz w:val="22"/>
                <w:szCs w:val="22"/>
              </w:rPr>
            </w:pPr>
            <w:r w:rsidRPr="00AE050F">
              <w:rPr>
                <w:rFonts w:ascii="Calibri" w:hAnsi="Calibri" w:cstheme="minorHAnsi"/>
                <w:color w:val="000000"/>
                <w:sz w:val="22"/>
                <w:szCs w:val="22"/>
              </w:rPr>
              <w:t>Argyll Arcade</w:t>
            </w:r>
          </w:p>
        </w:tc>
        <w:tc>
          <w:tcPr>
            <w:tcW w:w="1326"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noWrap/>
            <w:vAlign w:val="bottom"/>
            <w:hideMark/>
          </w:tcPr>
          <w:p w14:paraId="0D05CC70" w14:textId="77777777" w:rsidR="002C4DD7" w:rsidRPr="00AE050F" w:rsidRDefault="002C4DD7" w:rsidP="00B15FBD">
            <w:pPr>
              <w:ind w:firstLine="142"/>
              <w:jc w:val="center"/>
              <w:rPr>
                <w:rFonts w:ascii="Calibri" w:hAnsi="Calibri"/>
                <w:color w:val="000000"/>
                <w:sz w:val="22"/>
                <w:szCs w:val="22"/>
              </w:rPr>
            </w:pPr>
          </w:p>
        </w:tc>
        <w:tc>
          <w:tcPr>
            <w:tcW w:w="138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32809E02" w14:textId="77777777" w:rsidR="002C4DD7" w:rsidRPr="00AE050F" w:rsidRDefault="002C4DD7" w:rsidP="00E67861">
            <w:pPr>
              <w:ind w:firstLine="142"/>
              <w:jc w:val="center"/>
              <w:rPr>
                <w:rFonts w:ascii="Calibri" w:hAnsi="Calibri"/>
                <w:color w:val="000000"/>
                <w:sz w:val="22"/>
                <w:szCs w:val="22"/>
              </w:rPr>
            </w:pPr>
            <w:r w:rsidRPr="00AE050F">
              <w:rPr>
                <w:rFonts w:ascii="Calibri" w:hAnsi="Calibri" w:cstheme="minorHAnsi"/>
                <w:color w:val="000000"/>
                <w:sz w:val="22"/>
                <w:szCs w:val="22"/>
              </w:rPr>
              <w:t>7,152</w:t>
            </w:r>
          </w:p>
        </w:tc>
        <w:tc>
          <w:tcPr>
            <w:tcW w:w="145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0B3A8AD9"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1829</w:t>
            </w:r>
          </w:p>
        </w:tc>
        <w:tc>
          <w:tcPr>
            <w:tcW w:w="2983" w:type="dxa"/>
            <w:tcBorders>
              <w:top w:val="dashSmallGap" w:sz="4" w:space="0" w:color="548DD4" w:themeColor="text2" w:themeTint="99"/>
              <w:left w:val="dashSmallGap" w:sz="4" w:space="0" w:color="548DD4" w:themeColor="text2" w:themeTint="99"/>
              <w:bottom w:val="dashSmallGap" w:sz="4" w:space="0" w:color="548DD4" w:themeColor="text2" w:themeTint="99"/>
              <w:right w:val="triple" w:sz="4" w:space="0" w:color="548DD4" w:themeColor="text2" w:themeTint="99"/>
            </w:tcBorders>
            <w:shd w:val="clear" w:color="auto" w:fill="auto"/>
            <w:vAlign w:val="center"/>
            <w:hideMark/>
          </w:tcPr>
          <w:p w14:paraId="5FED4B52" w14:textId="77777777" w:rsidR="002C4DD7" w:rsidRPr="00AE050F" w:rsidRDefault="002C4DD7" w:rsidP="00B15FBD">
            <w:pPr>
              <w:ind w:leftChars="-15" w:left="-1" w:hangingChars="16" w:hanging="35"/>
              <w:rPr>
                <w:rFonts w:ascii="Calibri" w:hAnsi="Calibri"/>
                <w:color w:val="000000"/>
                <w:sz w:val="22"/>
                <w:szCs w:val="22"/>
              </w:rPr>
            </w:pPr>
            <w:r w:rsidRPr="00AE050F">
              <w:rPr>
                <w:rFonts w:ascii="Calibri" w:hAnsi="Calibri"/>
                <w:color w:val="000000"/>
                <w:sz w:val="22"/>
                <w:szCs w:val="22"/>
              </w:rPr>
              <w:t>Refurbished 2011</w:t>
            </w:r>
          </w:p>
        </w:tc>
      </w:tr>
      <w:tr w:rsidR="002C4DD7" w:rsidRPr="00AE050F" w14:paraId="2187DE45" w14:textId="77777777" w:rsidTr="003B44A8">
        <w:trPr>
          <w:trHeight w:val="320"/>
        </w:trPr>
        <w:tc>
          <w:tcPr>
            <w:tcW w:w="2561" w:type="dxa"/>
            <w:tcBorders>
              <w:top w:val="dashSmallGap" w:sz="4" w:space="0" w:color="548DD4" w:themeColor="text2" w:themeTint="99"/>
              <w:left w:val="triple"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27CB0DC5" w14:textId="31D67CE8" w:rsidR="002C4DD7" w:rsidRPr="00AE050F" w:rsidRDefault="002C4DD7" w:rsidP="003B44A8">
            <w:pPr>
              <w:pStyle w:val="NoSpacing"/>
              <w:ind w:firstLineChars="4" w:firstLine="9"/>
            </w:pPr>
            <w:r w:rsidRPr="00AE050F">
              <w:t>Buchanan Galleries</w:t>
            </w:r>
            <w:r w:rsidR="0067679D">
              <w:t xml:space="preserve"> with Buchanan Quarter</w:t>
            </w:r>
          </w:p>
        </w:tc>
        <w:tc>
          <w:tcPr>
            <w:tcW w:w="1326"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noWrap/>
            <w:vAlign w:val="bottom"/>
            <w:hideMark/>
          </w:tcPr>
          <w:p w14:paraId="33DC0E97" w14:textId="77777777" w:rsidR="002C4DD7" w:rsidRPr="00AE050F" w:rsidRDefault="002C4DD7" w:rsidP="000B7950">
            <w:pPr>
              <w:pStyle w:val="NoSpacing"/>
              <w:ind w:left="145"/>
            </w:pPr>
          </w:p>
        </w:tc>
        <w:tc>
          <w:tcPr>
            <w:tcW w:w="138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1C289066" w14:textId="26DEE934" w:rsidR="002C4DD7" w:rsidRPr="00AE050F" w:rsidRDefault="000B7950" w:rsidP="00E67861">
            <w:pPr>
              <w:pStyle w:val="NoSpacing"/>
              <w:ind w:left="145"/>
              <w:jc w:val="center"/>
            </w:pPr>
            <w:r>
              <w:t>7</w:t>
            </w:r>
            <w:r w:rsidR="002C4DD7" w:rsidRPr="00AE050F">
              <w:t>0,</w:t>
            </w:r>
            <w:r>
              <w:t>784</w:t>
            </w:r>
          </w:p>
        </w:tc>
        <w:tc>
          <w:tcPr>
            <w:tcW w:w="145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5B384EDA" w14:textId="77777777" w:rsidR="002C4DD7" w:rsidRPr="00AE050F" w:rsidRDefault="002C4DD7" w:rsidP="000B7950">
            <w:pPr>
              <w:pStyle w:val="NoSpacing"/>
              <w:ind w:left="145"/>
              <w:jc w:val="center"/>
            </w:pPr>
            <w:r w:rsidRPr="00AE050F">
              <w:t>1999</w:t>
            </w:r>
          </w:p>
        </w:tc>
        <w:tc>
          <w:tcPr>
            <w:tcW w:w="2983" w:type="dxa"/>
            <w:tcBorders>
              <w:top w:val="dashSmallGap" w:sz="4" w:space="0" w:color="548DD4" w:themeColor="text2" w:themeTint="99"/>
              <w:left w:val="dashSmallGap" w:sz="4" w:space="0" w:color="548DD4" w:themeColor="text2" w:themeTint="99"/>
              <w:bottom w:val="dashSmallGap" w:sz="4" w:space="0" w:color="548DD4" w:themeColor="text2" w:themeTint="99"/>
              <w:right w:val="triple" w:sz="4" w:space="0" w:color="548DD4" w:themeColor="text2" w:themeTint="99"/>
            </w:tcBorders>
            <w:shd w:val="clear" w:color="auto" w:fill="auto"/>
            <w:vAlign w:val="center"/>
            <w:hideMark/>
          </w:tcPr>
          <w:p w14:paraId="1A35EB12" w14:textId="4EAEF6F9" w:rsidR="002C4DD7" w:rsidRPr="00AE050F" w:rsidRDefault="0067679D" w:rsidP="000B7950">
            <w:pPr>
              <w:pStyle w:val="NoSpacing"/>
            </w:pPr>
            <w:r>
              <w:t>Extended 2013 to add Buchanan Quarter</w:t>
            </w:r>
          </w:p>
        </w:tc>
      </w:tr>
      <w:tr w:rsidR="002C4DD7" w:rsidRPr="00AE050F" w14:paraId="06E0F99C" w14:textId="77777777" w:rsidTr="003B44A8">
        <w:trPr>
          <w:trHeight w:val="320"/>
        </w:trPr>
        <w:tc>
          <w:tcPr>
            <w:tcW w:w="2561" w:type="dxa"/>
            <w:tcBorders>
              <w:top w:val="dashSmallGap" w:sz="4" w:space="0" w:color="548DD4" w:themeColor="text2" w:themeTint="99"/>
              <w:left w:val="triple"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5F50B856" w14:textId="77777777" w:rsidR="002C4DD7" w:rsidRPr="00AE050F" w:rsidRDefault="002C4DD7" w:rsidP="003B44A8">
            <w:pPr>
              <w:ind w:firstLineChars="4" w:firstLine="9"/>
              <w:rPr>
                <w:rFonts w:ascii="Calibri" w:hAnsi="Calibri"/>
                <w:color w:val="000000"/>
                <w:sz w:val="22"/>
                <w:szCs w:val="22"/>
              </w:rPr>
            </w:pPr>
            <w:r w:rsidRPr="00AE050F">
              <w:rPr>
                <w:rFonts w:ascii="Calibri" w:hAnsi="Calibri" w:cstheme="minorHAnsi"/>
                <w:color w:val="000000"/>
                <w:sz w:val="22"/>
                <w:szCs w:val="22"/>
              </w:rPr>
              <w:t>Italian Centre</w:t>
            </w:r>
          </w:p>
        </w:tc>
        <w:tc>
          <w:tcPr>
            <w:tcW w:w="1326"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noWrap/>
            <w:vAlign w:val="bottom"/>
            <w:hideMark/>
          </w:tcPr>
          <w:p w14:paraId="36BCB407" w14:textId="77777777" w:rsidR="002C4DD7" w:rsidRPr="00AE050F" w:rsidRDefault="002C4DD7" w:rsidP="00B15FBD">
            <w:pPr>
              <w:ind w:firstLine="142"/>
              <w:jc w:val="center"/>
              <w:rPr>
                <w:rFonts w:ascii="Calibri" w:hAnsi="Calibri"/>
                <w:color w:val="000000"/>
                <w:sz w:val="22"/>
                <w:szCs w:val="22"/>
              </w:rPr>
            </w:pPr>
          </w:p>
        </w:tc>
        <w:tc>
          <w:tcPr>
            <w:tcW w:w="138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005342E5" w14:textId="77777777" w:rsidR="002C4DD7" w:rsidRPr="00AE050F" w:rsidRDefault="002C4DD7" w:rsidP="00E67861">
            <w:pPr>
              <w:ind w:firstLine="142"/>
              <w:jc w:val="center"/>
              <w:rPr>
                <w:rFonts w:ascii="Calibri" w:hAnsi="Calibri"/>
                <w:color w:val="000000"/>
                <w:sz w:val="22"/>
                <w:szCs w:val="22"/>
              </w:rPr>
            </w:pPr>
            <w:r w:rsidRPr="00AE050F">
              <w:rPr>
                <w:rFonts w:ascii="Calibri" w:hAnsi="Calibri" w:cstheme="minorHAnsi"/>
                <w:color w:val="000000"/>
                <w:sz w:val="22"/>
                <w:szCs w:val="22"/>
              </w:rPr>
              <w:t>1,580</w:t>
            </w:r>
          </w:p>
        </w:tc>
        <w:tc>
          <w:tcPr>
            <w:tcW w:w="145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1539F035"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1991</w:t>
            </w:r>
          </w:p>
        </w:tc>
        <w:tc>
          <w:tcPr>
            <w:tcW w:w="2983" w:type="dxa"/>
            <w:tcBorders>
              <w:top w:val="dashSmallGap" w:sz="4" w:space="0" w:color="548DD4" w:themeColor="text2" w:themeTint="99"/>
              <w:left w:val="dashSmallGap" w:sz="4" w:space="0" w:color="548DD4" w:themeColor="text2" w:themeTint="99"/>
              <w:bottom w:val="dashSmallGap" w:sz="4" w:space="0" w:color="548DD4" w:themeColor="text2" w:themeTint="99"/>
              <w:right w:val="triple" w:sz="4" w:space="0" w:color="548DD4" w:themeColor="text2" w:themeTint="99"/>
            </w:tcBorders>
            <w:shd w:val="clear" w:color="auto" w:fill="auto"/>
            <w:vAlign w:val="center"/>
            <w:hideMark/>
          </w:tcPr>
          <w:p w14:paraId="6AC0F0C1" w14:textId="77777777" w:rsidR="002C4DD7" w:rsidRPr="00AE050F" w:rsidRDefault="002C4DD7" w:rsidP="00B15FBD">
            <w:pPr>
              <w:ind w:leftChars="-15" w:left="-1" w:hangingChars="16" w:hanging="35"/>
              <w:rPr>
                <w:rFonts w:ascii="Calibri" w:hAnsi="Calibri"/>
                <w:color w:val="000000"/>
                <w:sz w:val="22"/>
                <w:szCs w:val="22"/>
              </w:rPr>
            </w:pPr>
          </w:p>
        </w:tc>
      </w:tr>
      <w:tr w:rsidR="002C4DD7" w:rsidRPr="00AE050F" w14:paraId="517C8F7B" w14:textId="77777777" w:rsidTr="006B4A0C">
        <w:trPr>
          <w:trHeight w:val="629"/>
        </w:trPr>
        <w:tc>
          <w:tcPr>
            <w:tcW w:w="2561" w:type="dxa"/>
            <w:tcBorders>
              <w:top w:val="dashSmallGap" w:sz="4" w:space="0" w:color="548DD4" w:themeColor="text2" w:themeTint="99"/>
              <w:left w:val="triple"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7FD48506" w14:textId="77777777" w:rsidR="002C4DD7" w:rsidRPr="00AE050F" w:rsidRDefault="002C4DD7" w:rsidP="003B44A8">
            <w:pPr>
              <w:ind w:firstLineChars="4" w:firstLine="9"/>
              <w:rPr>
                <w:rFonts w:ascii="Calibri" w:hAnsi="Calibri"/>
                <w:color w:val="000000"/>
                <w:sz w:val="22"/>
                <w:szCs w:val="22"/>
              </w:rPr>
            </w:pPr>
            <w:r w:rsidRPr="00AE050F">
              <w:rPr>
                <w:rFonts w:ascii="Calibri" w:hAnsi="Calibri" w:cstheme="minorHAnsi"/>
                <w:color w:val="000000"/>
                <w:sz w:val="22"/>
                <w:szCs w:val="22"/>
              </w:rPr>
              <w:t>Princes Square</w:t>
            </w:r>
          </w:p>
        </w:tc>
        <w:tc>
          <w:tcPr>
            <w:tcW w:w="1326"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noWrap/>
            <w:vAlign w:val="bottom"/>
            <w:hideMark/>
          </w:tcPr>
          <w:p w14:paraId="17002F98" w14:textId="77777777" w:rsidR="002C4DD7" w:rsidRPr="00AE050F" w:rsidRDefault="002C4DD7" w:rsidP="00B15FBD">
            <w:pPr>
              <w:ind w:firstLine="142"/>
              <w:jc w:val="center"/>
              <w:rPr>
                <w:rFonts w:ascii="Calibri" w:hAnsi="Calibri"/>
                <w:color w:val="000000"/>
                <w:sz w:val="22"/>
                <w:szCs w:val="22"/>
              </w:rPr>
            </w:pPr>
          </w:p>
        </w:tc>
        <w:tc>
          <w:tcPr>
            <w:tcW w:w="138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7D2E89CB" w14:textId="77777777" w:rsidR="002C4DD7" w:rsidRPr="00AE050F" w:rsidRDefault="002C4DD7" w:rsidP="00E67861">
            <w:pPr>
              <w:ind w:firstLine="142"/>
              <w:jc w:val="center"/>
              <w:rPr>
                <w:rFonts w:ascii="Calibri" w:hAnsi="Calibri"/>
                <w:color w:val="000000"/>
                <w:sz w:val="22"/>
                <w:szCs w:val="22"/>
              </w:rPr>
            </w:pPr>
            <w:r w:rsidRPr="00AE050F">
              <w:rPr>
                <w:rFonts w:ascii="Calibri" w:hAnsi="Calibri" w:cstheme="minorHAnsi"/>
                <w:color w:val="000000"/>
                <w:sz w:val="22"/>
                <w:szCs w:val="22"/>
              </w:rPr>
              <w:t>11,900</w:t>
            </w:r>
          </w:p>
        </w:tc>
        <w:tc>
          <w:tcPr>
            <w:tcW w:w="145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7D693E0F"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1986</w:t>
            </w:r>
          </w:p>
        </w:tc>
        <w:tc>
          <w:tcPr>
            <w:tcW w:w="2983" w:type="dxa"/>
            <w:tcBorders>
              <w:top w:val="dashSmallGap" w:sz="4" w:space="0" w:color="548DD4" w:themeColor="text2" w:themeTint="99"/>
              <w:left w:val="dashSmallGap" w:sz="4" w:space="0" w:color="548DD4" w:themeColor="text2" w:themeTint="99"/>
              <w:bottom w:val="dashSmallGap" w:sz="4" w:space="0" w:color="548DD4" w:themeColor="text2" w:themeTint="99"/>
              <w:right w:val="triple" w:sz="4" w:space="0" w:color="548DD4" w:themeColor="text2" w:themeTint="99"/>
            </w:tcBorders>
            <w:shd w:val="clear" w:color="auto" w:fill="auto"/>
            <w:vAlign w:val="center"/>
            <w:hideMark/>
          </w:tcPr>
          <w:p w14:paraId="497EB577" w14:textId="2381CA49" w:rsidR="002C4DD7" w:rsidRDefault="002C4DD7" w:rsidP="00B15FBD">
            <w:pPr>
              <w:ind w:leftChars="-15" w:left="-1" w:hangingChars="16" w:hanging="35"/>
              <w:rPr>
                <w:rFonts w:ascii="Calibri" w:hAnsi="Calibri"/>
                <w:color w:val="000000"/>
                <w:sz w:val="22"/>
                <w:szCs w:val="22"/>
              </w:rPr>
            </w:pPr>
            <w:r w:rsidRPr="00AE050F">
              <w:rPr>
                <w:rFonts w:ascii="Calibri" w:hAnsi="Calibri"/>
                <w:color w:val="000000"/>
                <w:sz w:val="22"/>
                <w:szCs w:val="22"/>
              </w:rPr>
              <w:t>Refurbished 2018/19</w:t>
            </w:r>
            <w:r w:rsidR="00572DB8">
              <w:rPr>
                <w:rFonts w:ascii="Calibri" w:hAnsi="Calibri"/>
                <w:color w:val="000000"/>
                <w:sz w:val="22"/>
                <w:szCs w:val="22"/>
              </w:rPr>
              <w:t xml:space="preserve"> </w:t>
            </w:r>
            <w:r w:rsidRPr="00AE050F">
              <w:rPr>
                <w:rFonts w:ascii="Calibri" w:hAnsi="Calibri"/>
                <w:color w:val="000000"/>
                <w:sz w:val="22"/>
                <w:szCs w:val="22"/>
              </w:rPr>
              <w:t xml:space="preserve">                                             </w:t>
            </w:r>
          </w:p>
          <w:p w14:paraId="1D04855A" w14:textId="77777777" w:rsidR="002C4DD7" w:rsidRPr="00AE050F" w:rsidRDefault="002C4DD7" w:rsidP="00B15FBD">
            <w:pPr>
              <w:ind w:leftChars="-15" w:left="-1" w:hangingChars="16" w:hanging="35"/>
              <w:rPr>
                <w:rFonts w:ascii="Calibri" w:hAnsi="Calibri"/>
                <w:color w:val="000000"/>
                <w:sz w:val="22"/>
                <w:szCs w:val="22"/>
              </w:rPr>
            </w:pPr>
            <w:r w:rsidRPr="00AE050F">
              <w:rPr>
                <w:rFonts w:ascii="Calibri" w:hAnsi="Calibri"/>
                <w:color w:val="000000"/>
                <w:sz w:val="22"/>
                <w:szCs w:val="22"/>
              </w:rPr>
              <w:t xml:space="preserve">Extended 1998/99                            </w:t>
            </w:r>
          </w:p>
        </w:tc>
      </w:tr>
      <w:tr w:rsidR="002C4DD7" w:rsidRPr="00AE050F" w14:paraId="17B55E55" w14:textId="77777777" w:rsidTr="003B44A8">
        <w:trPr>
          <w:trHeight w:val="427"/>
        </w:trPr>
        <w:tc>
          <w:tcPr>
            <w:tcW w:w="2561" w:type="dxa"/>
            <w:tcBorders>
              <w:top w:val="dashSmallGap" w:sz="4" w:space="0" w:color="548DD4" w:themeColor="text2" w:themeTint="99"/>
              <w:left w:val="triple"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32994DF5" w14:textId="77777777" w:rsidR="002C4DD7" w:rsidRPr="00AE050F" w:rsidRDefault="002C4DD7" w:rsidP="003B44A8">
            <w:pPr>
              <w:ind w:firstLineChars="4" w:firstLine="9"/>
              <w:rPr>
                <w:rFonts w:ascii="Calibri" w:hAnsi="Calibri"/>
                <w:color w:val="000000"/>
                <w:sz w:val="22"/>
                <w:szCs w:val="22"/>
              </w:rPr>
            </w:pPr>
            <w:r w:rsidRPr="00AE050F">
              <w:rPr>
                <w:rFonts w:ascii="Calibri" w:hAnsi="Calibri" w:cstheme="minorHAnsi"/>
                <w:color w:val="000000"/>
                <w:sz w:val="22"/>
                <w:szCs w:val="22"/>
              </w:rPr>
              <w:t>Sauchiehall Centre</w:t>
            </w:r>
          </w:p>
        </w:tc>
        <w:tc>
          <w:tcPr>
            <w:tcW w:w="1326"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noWrap/>
            <w:vAlign w:val="bottom"/>
            <w:hideMark/>
          </w:tcPr>
          <w:p w14:paraId="3E50758A" w14:textId="77777777" w:rsidR="002C4DD7" w:rsidRPr="00AE050F" w:rsidRDefault="002C4DD7" w:rsidP="00B15FBD">
            <w:pPr>
              <w:ind w:firstLine="142"/>
              <w:jc w:val="center"/>
              <w:rPr>
                <w:rFonts w:ascii="Calibri" w:hAnsi="Calibri"/>
                <w:color w:val="000000"/>
                <w:sz w:val="22"/>
                <w:szCs w:val="22"/>
              </w:rPr>
            </w:pPr>
          </w:p>
        </w:tc>
        <w:tc>
          <w:tcPr>
            <w:tcW w:w="138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2FB9F830" w14:textId="77777777" w:rsidR="002C4DD7" w:rsidRPr="00AE050F" w:rsidRDefault="002C4DD7" w:rsidP="00E67861">
            <w:pPr>
              <w:ind w:firstLine="142"/>
              <w:jc w:val="center"/>
              <w:rPr>
                <w:rFonts w:ascii="Calibri" w:hAnsi="Calibri"/>
                <w:color w:val="000000"/>
                <w:sz w:val="22"/>
                <w:szCs w:val="22"/>
              </w:rPr>
            </w:pPr>
            <w:r w:rsidRPr="00AE050F">
              <w:rPr>
                <w:rFonts w:ascii="Calibri" w:hAnsi="Calibri" w:cstheme="minorHAnsi"/>
                <w:color w:val="000000"/>
                <w:sz w:val="22"/>
                <w:szCs w:val="22"/>
              </w:rPr>
              <w:t>18,070</w:t>
            </w:r>
          </w:p>
        </w:tc>
        <w:tc>
          <w:tcPr>
            <w:tcW w:w="145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0C73271A"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1974</w:t>
            </w:r>
          </w:p>
        </w:tc>
        <w:tc>
          <w:tcPr>
            <w:tcW w:w="2983" w:type="dxa"/>
            <w:tcBorders>
              <w:top w:val="dashSmallGap" w:sz="4" w:space="0" w:color="548DD4" w:themeColor="text2" w:themeTint="99"/>
              <w:left w:val="dashSmallGap" w:sz="4" w:space="0" w:color="548DD4" w:themeColor="text2" w:themeTint="99"/>
              <w:bottom w:val="dashSmallGap" w:sz="4" w:space="0" w:color="548DD4" w:themeColor="text2" w:themeTint="99"/>
              <w:right w:val="triple" w:sz="4" w:space="0" w:color="548DD4" w:themeColor="text2" w:themeTint="99"/>
            </w:tcBorders>
            <w:shd w:val="clear" w:color="auto" w:fill="auto"/>
            <w:vAlign w:val="center"/>
            <w:hideMark/>
          </w:tcPr>
          <w:p w14:paraId="38AFC5DF" w14:textId="77777777" w:rsidR="002C4DD7" w:rsidRDefault="002C4DD7" w:rsidP="00B15FBD">
            <w:pPr>
              <w:ind w:leftChars="-15" w:left="-1" w:hangingChars="16" w:hanging="35"/>
              <w:rPr>
                <w:rFonts w:ascii="Calibri" w:hAnsi="Calibri"/>
                <w:color w:val="000000"/>
                <w:sz w:val="22"/>
                <w:szCs w:val="22"/>
              </w:rPr>
            </w:pPr>
            <w:r w:rsidRPr="00AE050F">
              <w:rPr>
                <w:rFonts w:ascii="Calibri" w:hAnsi="Calibri"/>
                <w:color w:val="000000"/>
                <w:sz w:val="22"/>
                <w:szCs w:val="22"/>
              </w:rPr>
              <w:t xml:space="preserve">Refurbished 2002                                             </w:t>
            </w:r>
          </w:p>
          <w:p w14:paraId="4A46C30B" w14:textId="77777777" w:rsidR="002C4DD7" w:rsidRPr="00AE050F" w:rsidRDefault="002C4DD7" w:rsidP="00B15FBD">
            <w:pPr>
              <w:ind w:leftChars="-15" w:left="-1" w:hangingChars="16" w:hanging="35"/>
              <w:rPr>
                <w:rFonts w:ascii="Calibri" w:hAnsi="Calibri"/>
                <w:color w:val="000000"/>
                <w:sz w:val="22"/>
                <w:szCs w:val="22"/>
              </w:rPr>
            </w:pPr>
            <w:r w:rsidRPr="00AE050F">
              <w:rPr>
                <w:rFonts w:ascii="Calibri" w:hAnsi="Calibri"/>
                <w:color w:val="000000"/>
                <w:sz w:val="22"/>
                <w:szCs w:val="22"/>
              </w:rPr>
              <w:t xml:space="preserve">Refurbished </w:t>
            </w:r>
            <w:r>
              <w:rPr>
                <w:rFonts w:ascii="Calibri" w:hAnsi="Calibri"/>
                <w:color w:val="000000"/>
                <w:sz w:val="22"/>
                <w:szCs w:val="22"/>
              </w:rPr>
              <w:t xml:space="preserve">&amp; </w:t>
            </w:r>
            <w:r w:rsidRPr="00AE050F">
              <w:rPr>
                <w:rFonts w:ascii="Calibri" w:hAnsi="Calibri"/>
                <w:color w:val="000000"/>
                <w:sz w:val="22"/>
                <w:szCs w:val="22"/>
              </w:rPr>
              <w:t xml:space="preserve">extended 1987 </w:t>
            </w:r>
          </w:p>
        </w:tc>
      </w:tr>
      <w:tr w:rsidR="002C4DD7" w:rsidRPr="00AE050F" w14:paraId="0C5F7298" w14:textId="77777777" w:rsidTr="003B44A8">
        <w:trPr>
          <w:trHeight w:val="320"/>
        </w:trPr>
        <w:tc>
          <w:tcPr>
            <w:tcW w:w="2561" w:type="dxa"/>
            <w:tcBorders>
              <w:top w:val="dashSmallGap" w:sz="4" w:space="0" w:color="548DD4" w:themeColor="text2" w:themeTint="99"/>
              <w:left w:val="triple"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23F0947C" w14:textId="77777777" w:rsidR="002C4DD7" w:rsidRPr="00AE050F" w:rsidRDefault="002C4DD7" w:rsidP="003B44A8">
            <w:pPr>
              <w:ind w:firstLineChars="4" w:firstLine="9"/>
              <w:rPr>
                <w:rFonts w:ascii="Calibri" w:hAnsi="Calibri"/>
                <w:color w:val="000000"/>
                <w:sz w:val="22"/>
                <w:szCs w:val="22"/>
              </w:rPr>
            </w:pPr>
            <w:r w:rsidRPr="00AE050F">
              <w:rPr>
                <w:rFonts w:ascii="Calibri" w:hAnsi="Calibri" w:cstheme="minorHAnsi"/>
                <w:color w:val="000000"/>
                <w:sz w:val="22"/>
                <w:szCs w:val="22"/>
              </w:rPr>
              <w:t>Savoy Centre</w:t>
            </w:r>
          </w:p>
        </w:tc>
        <w:tc>
          <w:tcPr>
            <w:tcW w:w="1326"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noWrap/>
            <w:vAlign w:val="bottom"/>
            <w:hideMark/>
          </w:tcPr>
          <w:p w14:paraId="5F7D15F6" w14:textId="77777777" w:rsidR="002C4DD7" w:rsidRPr="00AE050F" w:rsidRDefault="002C4DD7" w:rsidP="00B15FBD">
            <w:pPr>
              <w:ind w:firstLine="142"/>
              <w:jc w:val="center"/>
              <w:rPr>
                <w:rFonts w:ascii="Calibri" w:hAnsi="Calibri"/>
                <w:color w:val="000000"/>
                <w:sz w:val="22"/>
                <w:szCs w:val="22"/>
              </w:rPr>
            </w:pPr>
          </w:p>
        </w:tc>
        <w:tc>
          <w:tcPr>
            <w:tcW w:w="138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5CC0720E" w14:textId="77777777" w:rsidR="002C4DD7" w:rsidRPr="00AE050F" w:rsidRDefault="002C4DD7" w:rsidP="00E67861">
            <w:pPr>
              <w:ind w:firstLine="142"/>
              <w:jc w:val="center"/>
              <w:rPr>
                <w:rFonts w:ascii="Calibri" w:hAnsi="Calibri"/>
                <w:color w:val="000000"/>
                <w:sz w:val="22"/>
                <w:szCs w:val="22"/>
              </w:rPr>
            </w:pPr>
            <w:r w:rsidRPr="00AE050F">
              <w:rPr>
                <w:rFonts w:ascii="Calibri" w:hAnsi="Calibri" w:cstheme="minorHAnsi"/>
                <w:color w:val="000000"/>
                <w:sz w:val="22"/>
                <w:szCs w:val="22"/>
              </w:rPr>
              <w:t>8,761</w:t>
            </w:r>
          </w:p>
        </w:tc>
        <w:tc>
          <w:tcPr>
            <w:tcW w:w="145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5DE46E4F"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1970</w:t>
            </w:r>
          </w:p>
        </w:tc>
        <w:tc>
          <w:tcPr>
            <w:tcW w:w="2983" w:type="dxa"/>
            <w:tcBorders>
              <w:top w:val="dashSmallGap" w:sz="4" w:space="0" w:color="548DD4" w:themeColor="text2" w:themeTint="99"/>
              <w:left w:val="dashSmallGap" w:sz="4" w:space="0" w:color="548DD4" w:themeColor="text2" w:themeTint="99"/>
              <w:bottom w:val="dashSmallGap" w:sz="4" w:space="0" w:color="548DD4" w:themeColor="text2" w:themeTint="99"/>
              <w:right w:val="triple" w:sz="4" w:space="0" w:color="548DD4" w:themeColor="text2" w:themeTint="99"/>
            </w:tcBorders>
            <w:shd w:val="clear" w:color="auto" w:fill="auto"/>
            <w:vAlign w:val="center"/>
            <w:hideMark/>
          </w:tcPr>
          <w:p w14:paraId="1F68A3C5" w14:textId="77777777" w:rsidR="002C4DD7" w:rsidRPr="00AE050F" w:rsidRDefault="002C4DD7" w:rsidP="00B15FBD">
            <w:pPr>
              <w:ind w:leftChars="-15" w:left="-1" w:hangingChars="16" w:hanging="35"/>
              <w:rPr>
                <w:rFonts w:ascii="Calibri" w:hAnsi="Calibri"/>
                <w:color w:val="000000"/>
                <w:sz w:val="22"/>
                <w:szCs w:val="22"/>
              </w:rPr>
            </w:pPr>
            <w:r w:rsidRPr="00AE050F">
              <w:rPr>
                <w:rFonts w:ascii="Calibri" w:hAnsi="Calibri"/>
                <w:color w:val="000000"/>
                <w:sz w:val="22"/>
                <w:szCs w:val="22"/>
              </w:rPr>
              <w:t>Refurbished 2018/19</w:t>
            </w:r>
          </w:p>
        </w:tc>
      </w:tr>
      <w:tr w:rsidR="002C4DD7" w:rsidRPr="00AE050F" w14:paraId="5256C726" w14:textId="77777777" w:rsidTr="003B44A8">
        <w:trPr>
          <w:trHeight w:val="866"/>
        </w:trPr>
        <w:tc>
          <w:tcPr>
            <w:tcW w:w="2561" w:type="dxa"/>
            <w:tcBorders>
              <w:top w:val="dashSmallGap" w:sz="4" w:space="0" w:color="548DD4" w:themeColor="text2" w:themeTint="99"/>
              <w:left w:val="triple" w:sz="4" w:space="0" w:color="548DD4" w:themeColor="text2" w:themeTint="99"/>
              <w:bottom w:val="single" w:sz="2" w:space="0" w:color="548DD4" w:themeColor="text2" w:themeTint="99"/>
              <w:right w:val="dashSmallGap" w:sz="4" w:space="0" w:color="548DD4" w:themeColor="text2" w:themeTint="99"/>
            </w:tcBorders>
            <w:shd w:val="clear" w:color="auto" w:fill="auto"/>
            <w:vAlign w:val="center"/>
            <w:hideMark/>
          </w:tcPr>
          <w:p w14:paraId="44BBE345" w14:textId="77777777" w:rsidR="002C4DD7" w:rsidRPr="00AE050F" w:rsidRDefault="002C4DD7" w:rsidP="003B44A8">
            <w:pPr>
              <w:ind w:firstLineChars="4" w:firstLine="9"/>
              <w:rPr>
                <w:rFonts w:ascii="Calibri" w:hAnsi="Calibri"/>
                <w:color w:val="000000"/>
                <w:sz w:val="22"/>
                <w:szCs w:val="22"/>
              </w:rPr>
            </w:pPr>
            <w:r w:rsidRPr="00AE050F">
              <w:rPr>
                <w:rFonts w:ascii="Calibri" w:hAnsi="Calibri" w:cstheme="minorHAnsi"/>
                <w:color w:val="000000"/>
                <w:sz w:val="22"/>
                <w:szCs w:val="22"/>
              </w:rPr>
              <w:t xml:space="preserve">St Enoch </w:t>
            </w:r>
          </w:p>
        </w:tc>
        <w:tc>
          <w:tcPr>
            <w:tcW w:w="1326" w:type="dxa"/>
            <w:tcBorders>
              <w:top w:val="dashSmallGap" w:sz="4" w:space="0" w:color="548DD4" w:themeColor="text2" w:themeTint="99"/>
              <w:left w:val="dashSmallGap" w:sz="4" w:space="0" w:color="548DD4" w:themeColor="text2" w:themeTint="99"/>
              <w:bottom w:val="single" w:sz="2" w:space="0" w:color="548DD4" w:themeColor="text2" w:themeTint="99"/>
              <w:right w:val="dashSmallGap" w:sz="4" w:space="0" w:color="548DD4" w:themeColor="text2" w:themeTint="99"/>
            </w:tcBorders>
            <w:shd w:val="clear" w:color="auto" w:fill="auto"/>
            <w:noWrap/>
            <w:vAlign w:val="bottom"/>
            <w:hideMark/>
          </w:tcPr>
          <w:p w14:paraId="770AB4CA" w14:textId="77777777" w:rsidR="002C4DD7" w:rsidRPr="00AE050F" w:rsidRDefault="002C4DD7" w:rsidP="00B15FBD">
            <w:pPr>
              <w:ind w:firstLine="142"/>
              <w:jc w:val="center"/>
              <w:rPr>
                <w:rFonts w:ascii="Calibri" w:hAnsi="Calibri"/>
                <w:color w:val="000000"/>
                <w:sz w:val="22"/>
                <w:szCs w:val="22"/>
              </w:rPr>
            </w:pPr>
          </w:p>
        </w:tc>
        <w:tc>
          <w:tcPr>
            <w:tcW w:w="1385" w:type="dxa"/>
            <w:tcBorders>
              <w:top w:val="dashSmallGap" w:sz="4" w:space="0" w:color="548DD4" w:themeColor="text2" w:themeTint="99"/>
              <w:left w:val="dashSmallGap" w:sz="4" w:space="0" w:color="548DD4" w:themeColor="text2" w:themeTint="99"/>
              <w:bottom w:val="single" w:sz="2" w:space="0" w:color="548DD4" w:themeColor="text2" w:themeTint="99"/>
              <w:right w:val="dashSmallGap" w:sz="4" w:space="0" w:color="548DD4" w:themeColor="text2" w:themeTint="99"/>
            </w:tcBorders>
            <w:shd w:val="clear" w:color="auto" w:fill="auto"/>
            <w:vAlign w:val="center"/>
            <w:hideMark/>
          </w:tcPr>
          <w:p w14:paraId="70C6AAB5" w14:textId="76796E76" w:rsidR="002C4DD7" w:rsidRPr="00AE050F" w:rsidRDefault="00C9785E" w:rsidP="00E67861">
            <w:pPr>
              <w:ind w:firstLine="142"/>
              <w:jc w:val="center"/>
              <w:rPr>
                <w:rFonts w:ascii="Calibri" w:hAnsi="Calibri"/>
                <w:color w:val="000000"/>
                <w:sz w:val="22"/>
                <w:szCs w:val="22"/>
              </w:rPr>
            </w:pPr>
            <w:r>
              <w:rPr>
                <w:rFonts w:ascii="Calibri" w:hAnsi="Calibri" w:cstheme="minorHAnsi"/>
                <w:color w:val="000000"/>
                <w:sz w:val="22"/>
                <w:szCs w:val="22"/>
              </w:rPr>
              <w:t>120,77</w:t>
            </w:r>
            <w:r w:rsidR="002C4DD7" w:rsidRPr="00AE050F">
              <w:rPr>
                <w:rFonts w:ascii="Calibri" w:hAnsi="Calibri" w:cstheme="minorHAnsi"/>
                <w:color w:val="000000"/>
                <w:sz w:val="22"/>
                <w:szCs w:val="22"/>
              </w:rPr>
              <w:t>0</w:t>
            </w:r>
          </w:p>
        </w:tc>
        <w:tc>
          <w:tcPr>
            <w:tcW w:w="1455" w:type="dxa"/>
            <w:tcBorders>
              <w:top w:val="dashSmallGap" w:sz="4" w:space="0" w:color="548DD4" w:themeColor="text2" w:themeTint="99"/>
              <w:left w:val="dashSmallGap" w:sz="4" w:space="0" w:color="548DD4" w:themeColor="text2" w:themeTint="99"/>
              <w:bottom w:val="single" w:sz="2" w:space="0" w:color="548DD4" w:themeColor="text2" w:themeTint="99"/>
              <w:right w:val="dashSmallGap" w:sz="4" w:space="0" w:color="548DD4" w:themeColor="text2" w:themeTint="99"/>
            </w:tcBorders>
            <w:shd w:val="clear" w:color="auto" w:fill="auto"/>
            <w:vAlign w:val="center"/>
            <w:hideMark/>
          </w:tcPr>
          <w:p w14:paraId="108FCF61"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1989</w:t>
            </w:r>
          </w:p>
        </w:tc>
        <w:tc>
          <w:tcPr>
            <w:tcW w:w="2983" w:type="dxa"/>
            <w:tcBorders>
              <w:top w:val="dashSmallGap" w:sz="4" w:space="0" w:color="548DD4" w:themeColor="text2" w:themeTint="99"/>
              <w:left w:val="dashSmallGap" w:sz="4" w:space="0" w:color="548DD4" w:themeColor="text2" w:themeTint="99"/>
              <w:bottom w:val="single" w:sz="2" w:space="0" w:color="548DD4" w:themeColor="text2" w:themeTint="99"/>
              <w:right w:val="triple" w:sz="4" w:space="0" w:color="548DD4" w:themeColor="text2" w:themeTint="99"/>
            </w:tcBorders>
            <w:shd w:val="clear" w:color="auto" w:fill="auto"/>
            <w:vAlign w:val="center"/>
            <w:hideMark/>
          </w:tcPr>
          <w:p w14:paraId="781365D2" w14:textId="5B199D4E" w:rsidR="002C4DD7" w:rsidRDefault="002C4DD7" w:rsidP="00B15FBD">
            <w:pPr>
              <w:ind w:leftChars="-15" w:left="-1" w:hangingChars="16" w:hanging="35"/>
              <w:rPr>
                <w:rFonts w:ascii="Calibri" w:hAnsi="Calibri"/>
                <w:color w:val="000000"/>
                <w:sz w:val="22"/>
                <w:szCs w:val="22"/>
              </w:rPr>
            </w:pPr>
            <w:r w:rsidRPr="00AE050F">
              <w:rPr>
                <w:rFonts w:ascii="Calibri" w:hAnsi="Calibri"/>
                <w:color w:val="000000"/>
                <w:sz w:val="22"/>
                <w:szCs w:val="22"/>
              </w:rPr>
              <w:t>R</w:t>
            </w:r>
            <w:r w:rsidR="00D82828">
              <w:rPr>
                <w:rFonts w:ascii="Calibri" w:hAnsi="Calibri"/>
                <w:color w:val="000000"/>
                <w:sz w:val="22"/>
                <w:szCs w:val="22"/>
              </w:rPr>
              <w:t>e</w:t>
            </w:r>
            <w:r w:rsidRPr="00AE050F">
              <w:rPr>
                <w:rFonts w:ascii="Calibri" w:hAnsi="Calibri"/>
                <w:color w:val="000000"/>
                <w:sz w:val="22"/>
                <w:szCs w:val="22"/>
              </w:rPr>
              <w:t xml:space="preserve">development started 2019                              </w:t>
            </w:r>
          </w:p>
          <w:p w14:paraId="1B36223A" w14:textId="48C9B8DE" w:rsidR="002C4DD7" w:rsidRDefault="002C4DD7" w:rsidP="00B15FBD">
            <w:pPr>
              <w:ind w:leftChars="-15" w:left="-1" w:hangingChars="16" w:hanging="35"/>
              <w:rPr>
                <w:rFonts w:ascii="Calibri" w:hAnsi="Calibri"/>
                <w:color w:val="000000"/>
                <w:sz w:val="22"/>
                <w:szCs w:val="22"/>
              </w:rPr>
            </w:pPr>
            <w:r w:rsidRPr="00AE050F">
              <w:rPr>
                <w:rFonts w:ascii="Calibri" w:hAnsi="Calibri"/>
                <w:color w:val="000000"/>
                <w:sz w:val="22"/>
                <w:szCs w:val="22"/>
              </w:rPr>
              <w:t>Extended 2009</w:t>
            </w:r>
            <w:r w:rsidR="00D82828">
              <w:rPr>
                <w:rFonts w:ascii="Calibri" w:hAnsi="Calibri"/>
                <w:color w:val="000000"/>
                <w:sz w:val="22"/>
                <w:szCs w:val="22"/>
              </w:rPr>
              <w:t>/10</w:t>
            </w:r>
            <w:r w:rsidRPr="00AE050F">
              <w:rPr>
                <w:rFonts w:ascii="Calibri" w:hAnsi="Calibri"/>
                <w:color w:val="000000"/>
                <w:sz w:val="22"/>
                <w:szCs w:val="22"/>
              </w:rPr>
              <w:t xml:space="preserve">                                                      </w:t>
            </w:r>
          </w:p>
          <w:p w14:paraId="06CBC525" w14:textId="35DA3DFD" w:rsidR="002C4DD7" w:rsidRPr="00AE050F" w:rsidRDefault="002C4DD7" w:rsidP="00B15FBD">
            <w:pPr>
              <w:ind w:leftChars="-15" w:left="-1" w:hangingChars="16" w:hanging="35"/>
              <w:rPr>
                <w:rFonts w:ascii="Calibri" w:hAnsi="Calibri"/>
                <w:color w:val="000000"/>
                <w:sz w:val="22"/>
                <w:szCs w:val="22"/>
              </w:rPr>
            </w:pPr>
            <w:r w:rsidRPr="00AE050F">
              <w:rPr>
                <w:rFonts w:ascii="Calibri" w:hAnsi="Calibri"/>
                <w:color w:val="000000"/>
                <w:sz w:val="22"/>
                <w:szCs w:val="22"/>
              </w:rPr>
              <w:t xml:space="preserve">Refurbished </w:t>
            </w:r>
            <w:r>
              <w:rPr>
                <w:rFonts w:ascii="Calibri" w:hAnsi="Calibri"/>
                <w:color w:val="000000"/>
                <w:sz w:val="22"/>
                <w:szCs w:val="22"/>
              </w:rPr>
              <w:t>&amp;</w:t>
            </w:r>
            <w:r w:rsidRPr="00AE050F">
              <w:rPr>
                <w:rFonts w:ascii="Calibri" w:hAnsi="Calibri"/>
                <w:color w:val="000000"/>
                <w:sz w:val="22"/>
                <w:szCs w:val="22"/>
              </w:rPr>
              <w:t xml:space="preserve"> extended 199</w:t>
            </w:r>
            <w:r w:rsidR="00C9785E">
              <w:rPr>
                <w:rFonts w:ascii="Calibri" w:hAnsi="Calibri"/>
                <w:color w:val="000000"/>
                <w:sz w:val="22"/>
                <w:szCs w:val="22"/>
              </w:rPr>
              <w:t>8/</w:t>
            </w:r>
            <w:r w:rsidRPr="00AE050F">
              <w:rPr>
                <w:rFonts w:ascii="Calibri" w:hAnsi="Calibri"/>
                <w:color w:val="000000"/>
                <w:sz w:val="22"/>
                <w:szCs w:val="22"/>
              </w:rPr>
              <w:t>9</w:t>
            </w:r>
          </w:p>
        </w:tc>
      </w:tr>
      <w:tr w:rsidR="002C4DD7" w:rsidRPr="00AE050F" w14:paraId="47D77420" w14:textId="77777777" w:rsidTr="003B44A8">
        <w:trPr>
          <w:trHeight w:val="319"/>
        </w:trPr>
        <w:tc>
          <w:tcPr>
            <w:tcW w:w="2561" w:type="dxa"/>
            <w:tcBorders>
              <w:top w:val="single" w:sz="2" w:space="0" w:color="548DD4" w:themeColor="text2" w:themeTint="99"/>
              <w:left w:val="triple" w:sz="4" w:space="0" w:color="548DD4" w:themeColor="text2" w:themeTint="99"/>
              <w:bottom w:val="triple" w:sz="4" w:space="0" w:color="548DD4" w:themeColor="text2" w:themeTint="99"/>
              <w:right w:val="single" w:sz="2" w:space="0" w:color="548DD4" w:themeColor="text2" w:themeTint="99"/>
            </w:tcBorders>
            <w:shd w:val="clear" w:color="auto" w:fill="auto"/>
            <w:vAlign w:val="center"/>
            <w:hideMark/>
          </w:tcPr>
          <w:p w14:paraId="6622EB2C" w14:textId="3068F8E8" w:rsidR="002C4DD7" w:rsidRPr="00AE050F" w:rsidRDefault="003B44A8" w:rsidP="003B44A8">
            <w:pPr>
              <w:ind w:firstLineChars="4" w:firstLine="9"/>
              <w:rPr>
                <w:rFonts w:ascii="Calibri" w:hAnsi="Calibri"/>
                <w:b/>
                <w:bCs/>
                <w:i/>
                <w:iCs/>
                <w:color w:val="000000"/>
                <w:sz w:val="22"/>
                <w:szCs w:val="22"/>
              </w:rPr>
            </w:pPr>
            <w:r>
              <w:rPr>
                <w:rFonts w:ascii="Calibri" w:hAnsi="Calibri"/>
                <w:b/>
                <w:bCs/>
                <w:i/>
                <w:iCs/>
                <w:color w:val="000000"/>
                <w:sz w:val="22"/>
                <w:szCs w:val="22"/>
              </w:rPr>
              <w:t xml:space="preserve">Est. </w:t>
            </w:r>
            <w:r w:rsidR="002C4DD7" w:rsidRPr="00AE050F">
              <w:rPr>
                <w:rFonts w:ascii="Calibri" w:hAnsi="Calibri"/>
                <w:b/>
                <w:bCs/>
                <w:i/>
                <w:iCs/>
                <w:color w:val="000000"/>
                <w:sz w:val="22"/>
                <w:szCs w:val="22"/>
              </w:rPr>
              <w:t xml:space="preserve">Total </w:t>
            </w:r>
            <w:r>
              <w:rPr>
                <w:rFonts w:ascii="Calibri" w:hAnsi="Calibri"/>
                <w:b/>
                <w:bCs/>
                <w:i/>
                <w:iCs/>
                <w:color w:val="000000"/>
                <w:sz w:val="22"/>
                <w:szCs w:val="22"/>
              </w:rPr>
              <w:t>Floorspace</w:t>
            </w:r>
          </w:p>
        </w:tc>
        <w:tc>
          <w:tcPr>
            <w:tcW w:w="1326" w:type="dxa"/>
            <w:tcBorders>
              <w:top w:val="single" w:sz="2" w:space="0" w:color="548DD4" w:themeColor="text2" w:themeTint="99"/>
              <w:left w:val="single" w:sz="2" w:space="0" w:color="548DD4" w:themeColor="text2" w:themeTint="99"/>
              <w:bottom w:val="triple" w:sz="4" w:space="0" w:color="548DD4" w:themeColor="text2" w:themeTint="99"/>
              <w:right w:val="single" w:sz="2" w:space="0" w:color="548DD4" w:themeColor="text2" w:themeTint="99"/>
            </w:tcBorders>
            <w:shd w:val="clear" w:color="auto" w:fill="auto"/>
            <w:vAlign w:val="center"/>
            <w:hideMark/>
          </w:tcPr>
          <w:p w14:paraId="64A4E62D" w14:textId="77632640" w:rsidR="002C4DD7" w:rsidRPr="00AE050F" w:rsidRDefault="00646A3A" w:rsidP="00B15FBD">
            <w:pPr>
              <w:ind w:firstLine="142"/>
              <w:jc w:val="center"/>
              <w:rPr>
                <w:rFonts w:ascii="Calibri" w:hAnsi="Calibri"/>
                <w:b/>
                <w:bCs/>
                <w:color w:val="000000"/>
                <w:sz w:val="22"/>
                <w:szCs w:val="22"/>
              </w:rPr>
            </w:pPr>
            <w:r>
              <w:rPr>
                <w:rFonts w:ascii="Calibri" w:hAnsi="Calibri"/>
                <w:b/>
                <w:bCs/>
                <w:color w:val="000000"/>
                <w:sz w:val="22"/>
                <w:szCs w:val="22"/>
              </w:rPr>
              <w:t>317,000</w:t>
            </w:r>
          </w:p>
        </w:tc>
        <w:tc>
          <w:tcPr>
            <w:tcW w:w="1385" w:type="dxa"/>
            <w:tcBorders>
              <w:top w:val="single" w:sz="2" w:space="0" w:color="548DD4" w:themeColor="text2" w:themeTint="99"/>
              <w:left w:val="single" w:sz="2" w:space="0" w:color="548DD4" w:themeColor="text2" w:themeTint="99"/>
              <w:bottom w:val="triple" w:sz="4" w:space="0" w:color="548DD4" w:themeColor="text2" w:themeTint="99"/>
              <w:right w:val="single" w:sz="2" w:space="0" w:color="548DD4" w:themeColor="text2" w:themeTint="99"/>
            </w:tcBorders>
            <w:shd w:val="clear" w:color="auto" w:fill="auto"/>
            <w:noWrap/>
            <w:vAlign w:val="bottom"/>
            <w:hideMark/>
          </w:tcPr>
          <w:p w14:paraId="251F3B78" w14:textId="77777777" w:rsidR="002C4DD7" w:rsidRPr="00AE050F" w:rsidRDefault="002C4DD7" w:rsidP="00B15FBD">
            <w:pPr>
              <w:ind w:firstLine="142"/>
              <w:jc w:val="center"/>
              <w:rPr>
                <w:rFonts w:ascii="Calibri" w:hAnsi="Calibri"/>
                <w:color w:val="000000"/>
                <w:sz w:val="22"/>
                <w:szCs w:val="22"/>
              </w:rPr>
            </w:pPr>
          </w:p>
        </w:tc>
        <w:tc>
          <w:tcPr>
            <w:tcW w:w="1455" w:type="dxa"/>
            <w:tcBorders>
              <w:top w:val="single" w:sz="2" w:space="0" w:color="548DD4" w:themeColor="text2" w:themeTint="99"/>
              <w:left w:val="single" w:sz="2" w:space="0" w:color="548DD4" w:themeColor="text2" w:themeTint="99"/>
              <w:bottom w:val="triple" w:sz="4" w:space="0" w:color="548DD4" w:themeColor="text2" w:themeTint="99"/>
              <w:right w:val="single" w:sz="2" w:space="0" w:color="548DD4" w:themeColor="text2" w:themeTint="99"/>
            </w:tcBorders>
            <w:shd w:val="clear" w:color="auto" w:fill="auto"/>
            <w:vAlign w:val="center"/>
            <w:hideMark/>
          </w:tcPr>
          <w:p w14:paraId="3A392C62" w14:textId="77777777" w:rsidR="002C4DD7" w:rsidRPr="00AE050F" w:rsidRDefault="002C4DD7" w:rsidP="00B15FBD">
            <w:pPr>
              <w:ind w:firstLine="142"/>
              <w:jc w:val="center"/>
              <w:rPr>
                <w:rFonts w:ascii="Calibri" w:hAnsi="Calibri"/>
                <w:color w:val="000000"/>
                <w:sz w:val="22"/>
                <w:szCs w:val="22"/>
              </w:rPr>
            </w:pPr>
          </w:p>
        </w:tc>
        <w:tc>
          <w:tcPr>
            <w:tcW w:w="2983" w:type="dxa"/>
            <w:tcBorders>
              <w:top w:val="single" w:sz="2" w:space="0" w:color="548DD4" w:themeColor="text2" w:themeTint="99"/>
              <w:left w:val="single" w:sz="2" w:space="0" w:color="548DD4" w:themeColor="text2" w:themeTint="99"/>
              <w:bottom w:val="triple" w:sz="4" w:space="0" w:color="548DD4" w:themeColor="text2" w:themeTint="99"/>
              <w:right w:val="triple" w:sz="4" w:space="0" w:color="548DD4" w:themeColor="text2" w:themeTint="99"/>
            </w:tcBorders>
            <w:shd w:val="clear" w:color="auto" w:fill="auto"/>
            <w:vAlign w:val="center"/>
            <w:hideMark/>
          </w:tcPr>
          <w:p w14:paraId="3E687183" w14:textId="77777777" w:rsidR="002C4DD7" w:rsidRPr="00AE050F" w:rsidRDefault="002C4DD7" w:rsidP="00B15FBD">
            <w:pPr>
              <w:ind w:firstLine="142"/>
              <w:rPr>
                <w:rFonts w:ascii="Calibri" w:hAnsi="Calibri"/>
                <w:color w:val="000000"/>
                <w:sz w:val="22"/>
                <w:szCs w:val="22"/>
              </w:rPr>
            </w:pPr>
          </w:p>
        </w:tc>
      </w:tr>
    </w:tbl>
    <w:p w14:paraId="428133AB" w14:textId="58F157C0" w:rsidR="00121BD6" w:rsidRPr="00F46539" w:rsidRDefault="00121BD6" w:rsidP="00121BD6">
      <w:pPr>
        <w:spacing w:line="360" w:lineRule="auto"/>
        <w:rPr>
          <w:rFonts w:asciiTheme="minorHAnsi" w:eastAsiaTheme="minorHAnsi" w:hAnsiTheme="minorHAnsi" w:cstheme="minorHAnsi"/>
          <w:sz w:val="20"/>
          <w:szCs w:val="20"/>
        </w:rPr>
      </w:pPr>
      <w:r w:rsidRPr="00F46539">
        <w:rPr>
          <w:rFonts w:asciiTheme="minorHAnsi" w:eastAsiaTheme="minorHAnsi" w:hAnsiTheme="minorHAnsi" w:cstheme="minorHAnsi"/>
          <w:sz w:val="20"/>
          <w:szCs w:val="20"/>
        </w:rPr>
        <w:t>Source: Compiled from CoStar, Completely Retail</w:t>
      </w:r>
      <w:r w:rsidR="00F46539">
        <w:rPr>
          <w:rFonts w:asciiTheme="minorHAnsi" w:eastAsiaTheme="minorHAnsi" w:hAnsiTheme="minorHAnsi" w:cstheme="minorHAnsi"/>
          <w:sz w:val="20"/>
          <w:szCs w:val="20"/>
        </w:rPr>
        <w:t>,</w:t>
      </w:r>
      <w:r w:rsidRPr="00F46539">
        <w:rPr>
          <w:rFonts w:asciiTheme="minorHAnsi" w:eastAsiaTheme="minorHAnsi" w:hAnsiTheme="minorHAnsi" w:cstheme="minorHAnsi"/>
          <w:sz w:val="20"/>
          <w:szCs w:val="20"/>
        </w:rPr>
        <w:t xml:space="preserve"> PMA (2020</w:t>
      </w:r>
      <w:r w:rsidR="00EB727F">
        <w:rPr>
          <w:rFonts w:asciiTheme="minorHAnsi" w:eastAsiaTheme="minorHAnsi" w:hAnsiTheme="minorHAnsi" w:cstheme="minorHAnsi"/>
          <w:sz w:val="20"/>
          <w:szCs w:val="20"/>
        </w:rPr>
        <w:t>b</w:t>
      </w:r>
      <w:r w:rsidRPr="00F46539">
        <w:rPr>
          <w:rFonts w:asciiTheme="minorHAnsi" w:eastAsiaTheme="minorHAnsi" w:hAnsiTheme="minorHAnsi" w:cstheme="minorHAnsi"/>
          <w:sz w:val="20"/>
          <w:szCs w:val="20"/>
        </w:rPr>
        <w:t>)</w:t>
      </w:r>
      <w:r w:rsidR="00F46539">
        <w:rPr>
          <w:rFonts w:asciiTheme="minorHAnsi" w:eastAsiaTheme="minorHAnsi" w:hAnsiTheme="minorHAnsi" w:cstheme="minorHAnsi"/>
          <w:sz w:val="20"/>
          <w:szCs w:val="20"/>
        </w:rPr>
        <w:t>.</w:t>
      </w:r>
    </w:p>
    <w:p w14:paraId="2654FFC7" w14:textId="77777777" w:rsidR="0032572F" w:rsidRDefault="0032572F" w:rsidP="007724CB">
      <w:pPr>
        <w:spacing w:line="360" w:lineRule="auto"/>
        <w:jc w:val="both"/>
        <w:rPr>
          <w:rFonts w:asciiTheme="minorHAnsi" w:hAnsiTheme="minorHAnsi"/>
          <w:lang w:eastAsia="en-US"/>
        </w:rPr>
      </w:pPr>
    </w:p>
    <w:p w14:paraId="0285B48E" w14:textId="06CEA77E" w:rsidR="00B07E5C" w:rsidRPr="00B07E5C" w:rsidRDefault="007724CB" w:rsidP="00B07E5C">
      <w:pPr>
        <w:spacing w:line="360" w:lineRule="auto"/>
        <w:jc w:val="both"/>
        <w:rPr>
          <w:rFonts w:asciiTheme="minorHAnsi" w:hAnsiTheme="minorHAnsi"/>
          <w:lang w:eastAsia="en-US"/>
        </w:rPr>
      </w:pPr>
      <w:r w:rsidRPr="005748A9">
        <w:rPr>
          <w:rFonts w:asciiTheme="minorHAnsi" w:hAnsiTheme="minorHAnsi"/>
          <w:lang w:eastAsia="en-US"/>
        </w:rPr>
        <w:t>Relatively little retail development has occurred in the city over the study period</w:t>
      </w:r>
      <w:r w:rsidR="00915F44">
        <w:rPr>
          <w:rFonts w:asciiTheme="minorHAnsi" w:hAnsiTheme="minorHAnsi"/>
          <w:lang w:eastAsia="en-US"/>
        </w:rPr>
        <w:t>, following the opening of Buchanan Galleries in 1999</w:t>
      </w:r>
      <w:r w:rsidRPr="005748A9">
        <w:rPr>
          <w:rFonts w:asciiTheme="minorHAnsi" w:hAnsiTheme="minorHAnsi"/>
          <w:lang w:eastAsia="en-US"/>
        </w:rPr>
        <w:t xml:space="preserve">. There </w:t>
      </w:r>
      <w:r w:rsidR="000944E7">
        <w:rPr>
          <w:rFonts w:asciiTheme="minorHAnsi" w:hAnsiTheme="minorHAnsi"/>
          <w:lang w:eastAsia="en-US"/>
        </w:rPr>
        <w:t xml:space="preserve">was the </w:t>
      </w:r>
      <w:r w:rsidR="006A3959">
        <w:rPr>
          <w:rFonts w:asciiTheme="minorHAnsi" w:hAnsiTheme="minorHAnsi"/>
          <w:lang w:eastAsia="en-US"/>
        </w:rPr>
        <w:t xml:space="preserve">addition of </w:t>
      </w:r>
      <w:r w:rsidR="006A3959" w:rsidRPr="005748A9">
        <w:rPr>
          <w:rFonts w:asciiTheme="minorHAnsi" w:hAnsiTheme="minorHAnsi"/>
          <w:lang w:eastAsia="en-US"/>
        </w:rPr>
        <w:t>51,000 m</w:t>
      </w:r>
      <w:r w:rsidR="006A3959" w:rsidRPr="005748A9">
        <w:rPr>
          <w:rFonts w:asciiTheme="minorHAnsi" w:hAnsiTheme="minorHAnsi"/>
          <w:vertAlign w:val="superscript"/>
          <w:lang w:eastAsia="en-US"/>
        </w:rPr>
        <w:t>2</w:t>
      </w:r>
      <w:r w:rsidR="006A3959" w:rsidRPr="005748A9">
        <w:rPr>
          <w:rFonts w:asciiTheme="minorHAnsi" w:hAnsiTheme="minorHAnsi"/>
          <w:lang w:eastAsia="en-US"/>
        </w:rPr>
        <w:t xml:space="preserve"> </w:t>
      </w:r>
      <w:r w:rsidRPr="005748A9">
        <w:rPr>
          <w:rFonts w:asciiTheme="minorHAnsi" w:hAnsiTheme="minorHAnsi"/>
          <w:lang w:eastAsia="en-US"/>
        </w:rPr>
        <w:t xml:space="preserve">and repurposing of space </w:t>
      </w:r>
      <w:r w:rsidR="006A3959">
        <w:rPr>
          <w:rFonts w:asciiTheme="minorHAnsi" w:hAnsiTheme="minorHAnsi"/>
          <w:lang w:eastAsia="en-US"/>
        </w:rPr>
        <w:t xml:space="preserve">in </w:t>
      </w:r>
      <w:r w:rsidRPr="005748A9">
        <w:rPr>
          <w:rFonts w:asciiTheme="minorHAnsi" w:hAnsiTheme="minorHAnsi"/>
          <w:lang w:eastAsia="en-US"/>
        </w:rPr>
        <w:t xml:space="preserve">the St Enoch Centre in 2009/10 and </w:t>
      </w:r>
      <w:r w:rsidR="006A3959">
        <w:rPr>
          <w:rFonts w:asciiTheme="minorHAnsi" w:hAnsiTheme="minorHAnsi"/>
          <w:lang w:eastAsia="en-US"/>
        </w:rPr>
        <w:t xml:space="preserve">the creation of </w:t>
      </w:r>
      <w:r w:rsidRPr="005748A9">
        <w:rPr>
          <w:rFonts w:asciiTheme="minorHAnsi" w:hAnsiTheme="minorHAnsi"/>
          <w:lang w:eastAsia="en-US"/>
        </w:rPr>
        <w:t>9,500m</w:t>
      </w:r>
      <w:r w:rsidRPr="005748A9">
        <w:rPr>
          <w:rFonts w:asciiTheme="minorHAnsi" w:hAnsiTheme="minorHAnsi"/>
          <w:vertAlign w:val="superscript"/>
          <w:lang w:eastAsia="en-US"/>
        </w:rPr>
        <w:t>2</w:t>
      </w:r>
      <w:r w:rsidRPr="005748A9">
        <w:rPr>
          <w:rFonts w:asciiTheme="minorHAnsi" w:hAnsiTheme="minorHAnsi"/>
          <w:lang w:eastAsia="en-US"/>
        </w:rPr>
        <w:t xml:space="preserve"> at Buchanan Quarter</w:t>
      </w:r>
      <w:r w:rsidR="006A3959">
        <w:rPr>
          <w:rFonts w:asciiTheme="minorHAnsi" w:hAnsiTheme="minorHAnsi"/>
          <w:lang w:eastAsia="en-US"/>
        </w:rPr>
        <w:t xml:space="preserve"> (part of Buchanan Galleries)</w:t>
      </w:r>
      <w:r w:rsidRPr="005748A9">
        <w:rPr>
          <w:rFonts w:asciiTheme="minorHAnsi" w:hAnsiTheme="minorHAnsi"/>
          <w:lang w:eastAsia="en-US"/>
        </w:rPr>
        <w:t xml:space="preserve"> but the large southern extension to Buchanan Galleries, proposed by owner Land</w:t>
      </w:r>
      <w:r w:rsidR="00B802FA">
        <w:rPr>
          <w:rFonts w:asciiTheme="minorHAnsi" w:hAnsiTheme="minorHAnsi"/>
          <w:lang w:eastAsia="en-US"/>
        </w:rPr>
        <w:t>sec</w:t>
      </w:r>
      <w:r w:rsidRPr="005748A9">
        <w:rPr>
          <w:rFonts w:asciiTheme="minorHAnsi" w:hAnsiTheme="minorHAnsi"/>
          <w:lang w:eastAsia="en-US"/>
        </w:rPr>
        <w:t>, stalled in 2015 and plans are now in the pipeline to develop it as a</w:t>
      </w:r>
      <w:r w:rsidR="003F0E1C">
        <w:rPr>
          <w:rFonts w:asciiTheme="minorHAnsi" w:hAnsiTheme="minorHAnsi"/>
          <w:lang w:eastAsia="en-US"/>
        </w:rPr>
        <w:t>n office-led</w:t>
      </w:r>
      <w:r w:rsidRPr="005748A9">
        <w:rPr>
          <w:rFonts w:asciiTheme="minorHAnsi" w:hAnsiTheme="minorHAnsi"/>
          <w:lang w:eastAsia="en-US"/>
        </w:rPr>
        <w:t xml:space="preserve"> development with a smaller retail element</w:t>
      </w:r>
      <w:r w:rsidR="00B802FA">
        <w:rPr>
          <w:rFonts w:asciiTheme="minorHAnsi" w:hAnsiTheme="minorHAnsi"/>
          <w:lang w:eastAsia="en-US"/>
        </w:rPr>
        <w:t xml:space="preserve"> (January 2022 update -  to develop it as a neighbourhood district with residential, office, retail, new streets and public realm)</w:t>
      </w:r>
      <w:r w:rsidRPr="005748A9">
        <w:rPr>
          <w:rFonts w:asciiTheme="minorHAnsi" w:hAnsiTheme="minorHAnsi"/>
          <w:lang w:eastAsia="en-US"/>
        </w:rPr>
        <w:t xml:space="preserve">. Subsequently, the city’s retailing system is unusual in that the floorspace per head (see Figure </w:t>
      </w:r>
      <w:r w:rsidR="00F40858">
        <w:rPr>
          <w:rFonts w:asciiTheme="minorHAnsi" w:hAnsiTheme="minorHAnsi"/>
          <w:lang w:eastAsia="en-US"/>
        </w:rPr>
        <w:t>9</w:t>
      </w:r>
      <w:r w:rsidRPr="005748A9">
        <w:rPr>
          <w:rFonts w:asciiTheme="minorHAnsi" w:hAnsiTheme="minorHAnsi"/>
          <w:lang w:eastAsia="en-US"/>
        </w:rPr>
        <w:t xml:space="preserve">) is notably lower than </w:t>
      </w:r>
      <w:r w:rsidR="006A3959">
        <w:rPr>
          <w:rFonts w:asciiTheme="minorHAnsi" w:hAnsiTheme="minorHAnsi"/>
          <w:lang w:eastAsia="en-US"/>
        </w:rPr>
        <w:t xml:space="preserve">in </w:t>
      </w:r>
      <w:r w:rsidRPr="005748A9">
        <w:rPr>
          <w:rFonts w:asciiTheme="minorHAnsi" w:hAnsiTheme="minorHAnsi"/>
          <w:lang w:eastAsia="en-US"/>
        </w:rPr>
        <w:t xml:space="preserve">the other cities within the study, even Edinburgh </w:t>
      </w:r>
      <w:r w:rsidR="00B07E5C">
        <w:rPr>
          <w:rFonts w:asciiTheme="minorHAnsi" w:hAnsiTheme="minorHAnsi"/>
          <w:lang w:eastAsia="en-US"/>
        </w:rPr>
        <w:t xml:space="preserve">prior to </w:t>
      </w:r>
      <w:r w:rsidRPr="005748A9">
        <w:rPr>
          <w:rFonts w:asciiTheme="minorHAnsi" w:hAnsiTheme="minorHAnsi"/>
          <w:lang w:eastAsia="en-US"/>
        </w:rPr>
        <w:t>the withdrawal of the St James Centre from the market.</w:t>
      </w:r>
    </w:p>
    <w:p w14:paraId="00C0E0E2" w14:textId="77777777" w:rsidR="00B07E5C" w:rsidRDefault="00B07E5C">
      <w:pPr>
        <w:spacing w:after="200" w:line="276" w:lineRule="auto"/>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br w:type="page"/>
      </w:r>
    </w:p>
    <w:p w14:paraId="114FC8E0" w14:textId="264B3F2B" w:rsidR="002C4DD7" w:rsidRDefault="00121BD6" w:rsidP="002C4DD7">
      <w:pPr>
        <w:rPr>
          <w:rFonts w:asciiTheme="minorHAnsi" w:eastAsiaTheme="minorHAnsi" w:hAnsiTheme="minorHAnsi" w:cstheme="minorHAnsi"/>
          <w:b/>
          <w:bCs/>
          <w:sz w:val="22"/>
          <w:szCs w:val="22"/>
          <w:lang w:eastAsia="en-US"/>
        </w:rPr>
      </w:pPr>
      <w:r w:rsidRPr="00F345D5">
        <w:rPr>
          <w:rFonts w:asciiTheme="minorHAnsi" w:eastAsiaTheme="minorHAnsi" w:hAnsiTheme="minorHAnsi" w:cstheme="minorHAnsi"/>
          <w:b/>
          <w:bCs/>
          <w:sz w:val="22"/>
          <w:szCs w:val="22"/>
          <w:lang w:eastAsia="en-US"/>
        </w:rPr>
        <w:lastRenderedPageBreak/>
        <w:t xml:space="preserve">Figure </w:t>
      </w:r>
      <w:r w:rsidR="00F40858">
        <w:rPr>
          <w:rFonts w:asciiTheme="minorHAnsi" w:eastAsiaTheme="minorHAnsi" w:hAnsiTheme="minorHAnsi" w:cstheme="minorHAnsi"/>
          <w:b/>
          <w:bCs/>
          <w:sz w:val="22"/>
          <w:szCs w:val="22"/>
          <w:lang w:eastAsia="en-US"/>
        </w:rPr>
        <w:t>9</w:t>
      </w:r>
      <w:r w:rsidRPr="00F345D5">
        <w:rPr>
          <w:rFonts w:asciiTheme="minorHAnsi" w:eastAsiaTheme="minorHAnsi" w:hAnsiTheme="minorHAnsi" w:cstheme="minorHAnsi"/>
          <w:b/>
          <w:bCs/>
          <w:sz w:val="22"/>
          <w:szCs w:val="22"/>
          <w:lang w:eastAsia="en-US"/>
        </w:rPr>
        <w:t>.  Floorspace per Head of Population</w:t>
      </w:r>
    </w:p>
    <w:p w14:paraId="6F8F1680" w14:textId="64902E51" w:rsidR="00121BD6" w:rsidRPr="00B07E5C" w:rsidRDefault="00B07E5C" w:rsidP="002C4DD7">
      <w:pPr>
        <w:rPr>
          <w:rFonts w:asciiTheme="minorHAnsi" w:eastAsiaTheme="minorHAnsi" w:hAnsiTheme="minorHAnsi" w:cstheme="minorHAnsi"/>
          <w:b/>
          <w:bCs/>
          <w:sz w:val="22"/>
          <w:szCs w:val="22"/>
          <w:lang w:eastAsia="en-US"/>
        </w:rPr>
      </w:pPr>
      <w:r>
        <w:rPr>
          <w:noProof/>
        </w:rPr>
        <w:drawing>
          <wp:inline distT="0" distB="0" distL="0" distR="0" wp14:anchorId="229452B2" wp14:editId="6D8C7AEC">
            <wp:extent cx="4992760" cy="2937729"/>
            <wp:effectExtent l="0" t="0" r="0" b="0"/>
            <wp:docPr id="157" name="Picture 15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Chart, bar chart&#10;&#10;Description automatically generated"/>
                    <pic:cNvPicPr/>
                  </pic:nvPicPr>
                  <pic:blipFill>
                    <a:blip r:embed="rId23"/>
                    <a:stretch>
                      <a:fillRect/>
                    </a:stretch>
                  </pic:blipFill>
                  <pic:spPr>
                    <a:xfrm>
                      <a:off x="0" y="0"/>
                      <a:ext cx="5009901" cy="2947815"/>
                    </a:xfrm>
                    <a:prstGeom prst="rect">
                      <a:avLst/>
                    </a:prstGeom>
                  </pic:spPr>
                </pic:pic>
              </a:graphicData>
            </a:graphic>
          </wp:inline>
        </w:drawing>
      </w:r>
    </w:p>
    <w:p w14:paraId="5EDBA2D0" w14:textId="0338175D" w:rsidR="00121BD6" w:rsidRPr="00F46539" w:rsidRDefault="00121BD6" w:rsidP="002C4DD7">
      <w:pPr>
        <w:rPr>
          <w:rFonts w:asciiTheme="minorHAnsi" w:eastAsiaTheme="minorHAnsi" w:hAnsiTheme="minorHAnsi" w:cstheme="minorHAnsi"/>
          <w:sz w:val="20"/>
          <w:szCs w:val="20"/>
          <w:lang w:eastAsia="en-US"/>
        </w:rPr>
      </w:pPr>
      <w:r w:rsidRPr="00F46539">
        <w:rPr>
          <w:rFonts w:asciiTheme="minorHAnsi" w:eastAsiaTheme="minorHAnsi" w:hAnsiTheme="minorHAnsi" w:cstheme="minorHAnsi"/>
          <w:sz w:val="20"/>
          <w:szCs w:val="20"/>
          <w:lang w:eastAsia="en-US"/>
        </w:rPr>
        <w:t xml:space="preserve">Source: </w:t>
      </w:r>
      <w:r w:rsidR="007D3B19" w:rsidRPr="00F46539">
        <w:rPr>
          <w:rFonts w:asciiTheme="minorHAnsi" w:eastAsiaTheme="minorHAnsi" w:hAnsiTheme="minorHAnsi" w:cstheme="minorHAnsi"/>
          <w:sz w:val="20"/>
          <w:szCs w:val="20"/>
          <w:lang w:eastAsia="en-US"/>
        </w:rPr>
        <w:t>Adapte</w:t>
      </w:r>
      <w:r w:rsidRPr="00F46539">
        <w:rPr>
          <w:rFonts w:asciiTheme="minorHAnsi" w:eastAsiaTheme="minorHAnsi" w:hAnsiTheme="minorHAnsi" w:cstheme="minorHAnsi"/>
          <w:sz w:val="20"/>
          <w:szCs w:val="20"/>
          <w:lang w:eastAsia="en-US"/>
        </w:rPr>
        <w:t>d from PMA (202</w:t>
      </w:r>
      <w:r w:rsidR="00B07E5C">
        <w:rPr>
          <w:rFonts w:asciiTheme="minorHAnsi" w:eastAsiaTheme="minorHAnsi" w:hAnsiTheme="minorHAnsi" w:cstheme="minorHAnsi"/>
          <w:sz w:val="20"/>
          <w:szCs w:val="20"/>
          <w:lang w:eastAsia="en-US"/>
        </w:rPr>
        <w:t>1</w:t>
      </w:r>
      <w:r w:rsidRPr="00F46539">
        <w:rPr>
          <w:rFonts w:asciiTheme="minorHAnsi" w:eastAsiaTheme="minorHAnsi" w:hAnsiTheme="minorHAnsi" w:cstheme="minorHAnsi"/>
          <w:sz w:val="20"/>
          <w:szCs w:val="20"/>
          <w:lang w:eastAsia="en-US"/>
        </w:rPr>
        <w:t>)</w:t>
      </w:r>
      <w:r w:rsidR="00F46539">
        <w:rPr>
          <w:rFonts w:asciiTheme="minorHAnsi" w:eastAsiaTheme="minorHAnsi" w:hAnsiTheme="minorHAnsi" w:cstheme="minorHAnsi"/>
          <w:sz w:val="20"/>
          <w:szCs w:val="20"/>
          <w:lang w:eastAsia="en-US"/>
        </w:rPr>
        <w:t>.</w:t>
      </w:r>
    </w:p>
    <w:p w14:paraId="666DF0FF" w14:textId="77777777" w:rsidR="008838B4" w:rsidRPr="006A3959" w:rsidRDefault="008838B4" w:rsidP="008838B4">
      <w:pPr>
        <w:rPr>
          <w:lang w:eastAsia="en-US"/>
        </w:rPr>
      </w:pPr>
    </w:p>
    <w:p w14:paraId="4E7C6BF9" w14:textId="4CFCDAF0" w:rsidR="008838B4" w:rsidRPr="006A3959" w:rsidRDefault="008838B4" w:rsidP="00656A68">
      <w:pPr>
        <w:spacing w:line="360" w:lineRule="auto"/>
        <w:jc w:val="both"/>
        <w:rPr>
          <w:rFonts w:asciiTheme="minorHAnsi" w:hAnsiTheme="minorHAnsi"/>
          <w:lang w:eastAsia="en-US"/>
        </w:rPr>
      </w:pPr>
      <w:r w:rsidRPr="006A3959">
        <w:rPr>
          <w:rFonts w:asciiTheme="minorHAnsi" w:hAnsiTheme="minorHAnsi"/>
          <w:lang w:eastAsia="en-US"/>
        </w:rPr>
        <w:t>Once a manufacturing powerhouse, the restructuring of Glasgow’s local economy has resulted in only 4.5% of the jobs in the city being in manufacturing with the service sector now dominating</w:t>
      </w:r>
      <w:r w:rsidR="00B07E5C">
        <w:rPr>
          <w:rFonts w:asciiTheme="minorHAnsi" w:hAnsiTheme="minorHAnsi"/>
          <w:lang w:eastAsia="en-US"/>
        </w:rPr>
        <w:t>,</w:t>
      </w:r>
      <w:r w:rsidRPr="006A3959">
        <w:rPr>
          <w:rFonts w:asciiTheme="minorHAnsi" w:hAnsiTheme="minorHAnsi"/>
          <w:lang w:eastAsia="en-US"/>
        </w:rPr>
        <w:t xml:space="preserve"> represent</w:t>
      </w:r>
      <w:r w:rsidR="00B07E5C">
        <w:rPr>
          <w:rFonts w:asciiTheme="minorHAnsi" w:hAnsiTheme="minorHAnsi"/>
          <w:lang w:eastAsia="en-US"/>
        </w:rPr>
        <w:t>ing</w:t>
      </w:r>
      <w:r w:rsidRPr="006A3959">
        <w:rPr>
          <w:rFonts w:asciiTheme="minorHAnsi" w:hAnsiTheme="minorHAnsi"/>
          <w:lang w:eastAsia="en-US"/>
        </w:rPr>
        <w:t xml:space="preserve"> 84.9% of GVA (</w:t>
      </w:r>
      <w:proofErr w:type="spellStart"/>
      <w:r w:rsidRPr="006A3959">
        <w:rPr>
          <w:rFonts w:asciiTheme="minorHAnsi" w:hAnsiTheme="minorHAnsi"/>
          <w:lang w:eastAsia="en-US"/>
        </w:rPr>
        <w:t>nomis</w:t>
      </w:r>
      <w:proofErr w:type="spellEnd"/>
      <w:r w:rsidRPr="006A3959">
        <w:rPr>
          <w:rFonts w:asciiTheme="minorHAnsi" w:hAnsiTheme="minorHAnsi"/>
          <w:lang w:eastAsia="en-US"/>
        </w:rPr>
        <w:t>, 2020; ONS, 2019). Public administration, health, defence and education represent 20.8% of the economy while retailing and leisure contribute to 9.5% of economic output. Other notable sectors include financial services</w:t>
      </w:r>
      <w:r w:rsidR="006A3959">
        <w:rPr>
          <w:rFonts w:asciiTheme="minorHAnsi" w:hAnsiTheme="minorHAnsi"/>
          <w:lang w:eastAsia="en-US"/>
        </w:rPr>
        <w:t xml:space="preserve"> </w:t>
      </w:r>
      <w:r w:rsidRPr="006A3959">
        <w:rPr>
          <w:rFonts w:asciiTheme="minorHAnsi" w:hAnsiTheme="minorHAnsi"/>
          <w:lang w:eastAsia="en-US"/>
        </w:rPr>
        <w:t xml:space="preserve">which now represents 9.4%, real estate activities 10.5% and 8.1% </w:t>
      </w:r>
      <w:r w:rsidR="00B07E5C">
        <w:rPr>
          <w:rFonts w:asciiTheme="minorHAnsi" w:hAnsiTheme="minorHAnsi"/>
          <w:lang w:eastAsia="en-US"/>
        </w:rPr>
        <w:t>generated by</w:t>
      </w:r>
      <w:r w:rsidRPr="006A3959">
        <w:rPr>
          <w:rFonts w:asciiTheme="minorHAnsi" w:hAnsiTheme="minorHAnsi"/>
          <w:lang w:eastAsia="en-US"/>
        </w:rPr>
        <w:t xml:space="preserve"> information and communication, including its substantial media and publishing industry (ONS, 2019). The Glasgow economy also has an expanding tourist base, attracting 789,600 international visitors in 2017 (VisitScotland, 2018b) with visits spread relatively evenly throughout the year. Tourism now contributes £432 million per annum to the Glasgow economy. Footfall in the city during the spring and summer months is higher than footfall in the Liverpool, Nottingham and Edinburgh although this dips in the winter months suggesting residents and visitors are less incl</w:t>
      </w:r>
      <w:r w:rsidR="006A3959">
        <w:rPr>
          <w:rFonts w:asciiTheme="minorHAnsi" w:hAnsiTheme="minorHAnsi"/>
          <w:lang w:eastAsia="en-US"/>
        </w:rPr>
        <w:t>in</w:t>
      </w:r>
      <w:r w:rsidRPr="006A3959">
        <w:rPr>
          <w:rFonts w:asciiTheme="minorHAnsi" w:hAnsiTheme="minorHAnsi"/>
          <w:lang w:eastAsia="en-US"/>
        </w:rPr>
        <w:t>ed to visit the centre when the weather worse</w:t>
      </w:r>
      <w:r w:rsidR="00B07E5C">
        <w:rPr>
          <w:rFonts w:asciiTheme="minorHAnsi" w:hAnsiTheme="minorHAnsi"/>
          <w:lang w:eastAsia="en-US"/>
        </w:rPr>
        <w:t>ns</w:t>
      </w:r>
      <w:r w:rsidRPr="006A3959">
        <w:rPr>
          <w:rFonts w:asciiTheme="minorHAnsi" w:hAnsiTheme="minorHAnsi"/>
          <w:lang w:eastAsia="en-US"/>
        </w:rPr>
        <w:t xml:space="preserve"> (See Figure </w:t>
      </w:r>
      <w:r w:rsidR="00F40858">
        <w:rPr>
          <w:rFonts w:asciiTheme="minorHAnsi" w:hAnsiTheme="minorHAnsi"/>
          <w:lang w:eastAsia="en-US"/>
        </w:rPr>
        <w:t>10</w:t>
      </w:r>
      <w:r w:rsidRPr="006A3959">
        <w:rPr>
          <w:rFonts w:asciiTheme="minorHAnsi" w:hAnsiTheme="minorHAnsi"/>
          <w:lang w:eastAsia="en-US"/>
        </w:rPr>
        <w:t>).</w:t>
      </w:r>
    </w:p>
    <w:p w14:paraId="61231A7E" w14:textId="0756FFEE" w:rsidR="00930A38" w:rsidRDefault="00930A38" w:rsidP="008838B4">
      <w:pPr>
        <w:rPr>
          <w:rFonts w:eastAsiaTheme="minorHAnsi"/>
          <w:b/>
          <w:bCs/>
          <w:lang w:eastAsia="en-US"/>
        </w:rPr>
      </w:pPr>
    </w:p>
    <w:p w14:paraId="434418A3" w14:textId="08E19217" w:rsidR="006A3959" w:rsidRPr="0058634B" w:rsidRDefault="006A3959" w:rsidP="006A3959">
      <w:pPr>
        <w:spacing w:line="360" w:lineRule="auto"/>
        <w:jc w:val="both"/>
        <w:rPr>
          <w:rFonts w:asciiTheme="minorHAnsi" w:eastAsiaTheme="minorHAnsi" w:hAnsiTheme="minorHAnsi"/>
          <w:lang w:eastAsia="en-US"/>
        </w:rPr>
      </w:pPr>
      <w:r w:rsidRPr="0058634B">
        <w:rPr>
          <w:rFonts w:asciiTheme="minorHAnsi" w:eastAsiaTheme="minorHAnsi" w:hAnsiTheme="minorHAnsi"/>
          <w:lang w:eastAsia="en-US"/>
        </w:rPr>
        <w:t>The city it served by a rail, bus</w:t>
      </w:r>
      <w:r w:rsidR="00864B9E">
        <w:rPr>
          <w:rFonts w:asciiTheme="minorHAnsi" w:eastAsiaTheme="minorHAnsi" w:hAnsiTheme="minorHAnsi"/>
          <w:lang w:eastAsia="en-US"/>
        </w:rPr>
        <w:t>,</w:t>
      </w:r>
      <w:r w:rsidRPr="0058634B">
        <w:rPr>
          <w:rFonts w:asciiTheme="minorHAnsi" w:eastAsiaTheme="minorHAnsi" w:hAnsiTheme="minorHAnsi"/>
          <w:lang w:eastAsia="en-US"/>
        </w:rPr>
        <w:t xml:space="preserve"> and underground system that has largely unchanged in the last 30 years although the underground system and its stations have been undergoing refurbish</w:t>
      </w:r>
      <w:r w:rsidR="00965DE5">
        <w:rPr>
          <w:rFonts w:asciiTheme="minorHAnsi" w:eastAsiaTheme="minorHAnsi" w:hAnsiTheme="minorHAnsi"/>
          <w:lang w:eastAsia="en-US"/>
        </w:rPr>
        <w:t>ment</w:t>
      </w:r>
      <w:r w:rsidRPr="0058634B">
        <w:rPr>
          <w:rFonts w:asciiTheme="minorHAnsi" w:eastAsiaTheme="minorHAnsi" w:hAnsiTheme="minorHAnsi"/>
          <w:lang w:eastAsia="en-US"/>
        </w:rPr>
        <w:t xml:space="preserve"> and</w:t>
      </w:r>
      <w:r w:rsidR="00B07E5C">
        <w:rPr>
          <w:rFonts w:asciiTheme="minorHAnsi" w:eastAsiaTheme="minorHAnsi" w:hAnsiTheme="minorHAnsi"/>
          <w:lang w:eastAsia="en-US"/>
        </w:rPr>
        <w:t xml:space="preserve"> in</w:t>
      </w:r>
      <w:r w:rsidRPr="0058634B">
        <w:rPr>
          <w:rFonts w:asciiTheme="minorHAnsi" w:eastAsiaTheme="minorHAnsi" w:hAnsiTheme="minorHAnsi"/>
          <w:lang w:eastAsia="en-US"/>
        </w:rPr>
        <w:t xml:space="preserve"> October 2017, one of the two main railway stations, Queen Street station started a process of redevelopment. The golden Z is well serviced by these public transportation connections with subway stations at the top and bottom of Buchanan Street, two stations on Argyle Street, including the main Central Station, and Queen Street station accessible from Buchanan Street.</w:t>
      </w:r>
      <w:r>
        <w:rPr>
          <w:rFonts w:asciiTheme="minorHAnsi" w:eastAsiaTheme="minorHAnsi" w:hAnsiTheme="minorHAnsi"/>
          <w:lang w:eastAsia="en-US"/>
        </w:rPr>
        <w:t xml:space="preserve"> </w:t>
      </w:r>
      <w:r>
        <w:rPr>
          <w:rFonts w:asciiTheme="minorHAnsi" w:eastAsiaTheme="minorHAnsi" w:hAnsiTheme="minorHAnsi"/>
          <w:lang w:eastAsia="en-US"/>
        </w:rPr>
        <w:lastRenderedPageBreak/>
        <w:t>There are also numerous multi-storey car parks in the city centre with every point in the study area within a 400</w:t>
      </w:r>
      <w:r w:rsidR="00864B9E">
        <w:rPr>
          <w:rFonts w:asciiTheme="minorHAnsi" w:eastAsiaTheme="minorHAnsi" w:hAnsiTheme="minorHAnsi"/>
          <w:lang w:eastAsia="en-US"/>
        </w:rPr>
        <w:t xml:space="preserve"> </w:t>
      </w:r>
      <w:r>
        <w:rPr>
          <w:rFonts w:asciiTheme="minorHAnsi" w:eastAsiaTheme="minorHAnsi" w:hAnsiTheme="minorHAnsi"/>
          <w:lang w:eastAsia="en-US"/>
        </w:rPr>
        <w:t>m</w:t>
      </w:r>
      <w:r w:rsidR="00182F05">
        <w:rPr>
          <w:rFonts w:asciiTheme="minorHAnsi" w:eastAsiaTheme="minorHAnsi" w:hAnsiTheme="minorHAnsi"/>
          <w:lang w:eastAsia="en-US"/>
        </w:rPr>
        <w:t>etre</w:t>
      </w:r>
      <w:r w:rsidR="00864B9E">
        <w:rPr>
          <w:rFonts w:asciiTheme="minorHAnsi" w:eastAsiaTheme="minorHAnsi" w:hAnsiTheme="minorHAnsi"/>
          <w:lang w:eastAsia="en-US"/>
        </w:rPr>
        <w:t>s</w:t>
      </w:r>
      <w:r w:rsidR="00182F05">
        <w:rPr>
          <w:rFonts w:asciiTheme="minorHAnsi" w:eastAsiaTheme="minorHAnsi" w:hAnsiTheme="minorHAnsi"/>
          <w:lang w:eastAsia="en-US"/>
        </w:rPr>
        <w:t xml:space="preserve"> walk of car parking</w:t>
      </w:r>
      <w:r>
        <w:rPr>
          <w:rFonts w:asciiTheme="minorHAnsi" w:eastAsiaTheme="minorHAnsi" w:hAnsiTheme="minorHAnsi"/>
          <w:lang w:eastAsia="en-US"/>
        </w:rPr>
        <w:t>.</w:t>
      </w:r>
    </w:p>
    <w:p w14:paraId="2BDFC98E" w14:textId="77777777" w:rsidR="006A3959" w:rsidRDefault="006A3959" w:rsidP="008838B4">
      <w:pPr>
        <w:rPr>
          <w:rFonts w:eastAsiaTheme="minorHAnsi"/>
          <w:b/>
          <w:bCs/>
          <w:lang w:eastAsia="en-US"/>
        </w:rPr>
      </w:pPr>
    </w:p>
    <w:p w14:paraId="3FF7265E" w14:textId="7EF5C479" w:rsidR="008838B4" w:rsidRPr="00F345D5" w:rsidRDefault="008838B4" w:rsidP="008838B4">
      <w:pPr>
        <w:rPr>
          <w:rFonts w:asciiTheme="minorHAnsi" w:eastAsiaTheme="minorHAnsi" w:hAnsiTheme="minorHAnsi" w:cstheme="minorHAnsi"/>
          <w:b/>
          <w:bCs/>
          <w:sz w:val="22"/>
          <w:szCs w:val="22"/>
          <w:lang w:eastAsia="en-US"/>
        </w:rPr>
      </w:pPr>
      <w:r w:rsidRPr="00F345D5">
        <w:rPr>
          <w:rFonts w:asciiTheme="minorHAnsi" w:eastAsiaTheme="minorHAnsi" w:hAnsiTheme="minorHAnsi" w:cstheme="minorHAnsi"/>
          <w:b/>
          <w:bCs/>
          <w:sz w:val="22"/>
          <w:szCs w:val="22"/>
          <w:lang w:eastAsia="en-US"/>
        </w:rPr>
        <w:t xml:space="preserve">Figure </w:t>
      </w:r>
      <w:r w:rsidR="00F40858">
        <w:rPr>
          <w:rFonts w:asciiTheme="minorHAnsi" w:eastAsiaTheme="minorHAnsi" w:hAnsiTheme="minorHAnsi" w:cstheme="minorHAnsi"/>
          <w:b/>
          <w:bCs/>
          <w:sz w:val="22"/>
          <w:szCs w:val="22"/>
          <w:lang w:eastAsia="en-US"/>
        </w:rPr>
        <w:t>10</w:t>
      </w:r>
      <w:r w:rsidRPr="00F345D5">
        <w:rPr>
          <w:rFonts w:asciiTheme="minorHAnsi" w:eastAsiaTheme="minorHAnsi" w:hAnsiTheme="minorHAnsi" w:cstheme="minorHAnsi"/>
          <w:b/>
          <w:bCs/>
          <w:sz w:val="22"/>
          <w:szCs w:val="22"/>
          <w:lang w:eastAsia="en-US"/>
        </w:rPr>
        <w:t>.  Average Weekly Footfall</w:t>
      </w:r>
    </w:p>
    <w:p w14:paraId="0528F717" w14:textId="0F9BDE10" w:rsidR="00182B64" w:rsidRPr="008838B4" w:rsidRDefault="00182B64" w:rsidP="008838B4">
      <w:pPr>
        <w:rPr>
          <w:rFonts w:eastAsiaTheme="minorHAnsi"/>
          <w:b/>
          <w:bCs/>
          <w:lang w:eastAsia="en-US"/>
        </w:rPr>
      </w:pPr>
      <w:r>
        <w:rPr>
          <w:noProof/>
        </w:rPr>
        <w:drawing>
          <wp:inline distT="0" distB="0" distL="0" distR="0" wp14:anchorId="69A2C1D5" wp14:editId="75C63ABC">
            <wp:extent cx="5035550" cy="2927328"/>
            <wp:effectExtent l="0" t="0" r="0" b="0"/>
            <wp:docPr id="18" name="Picture 18"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chart&#10;&#10;Description automatically generated"/>
                    <pic:cNvPicPr/>
                  </pic:nvPicPr>
                  <pic:blipFill>
                    <a:blip r:embed="rId24"/>
                    <a:stretch>
                      <a:fillRect/>
                    </a:stretch>
                  </pic:blipFill>
                  <pic:spPr>
                    <a:xfrm>
                      <a:off x="0" y="0"/>
                      <a:ext cx="5112747" cy="2972205"/>
                    </a:xfrm>
                    <a:prstGeom prst="rect">
                      <a:avLst/>
                    </a:prstGeom>
                  </pic:spPr>
                </pic:pic>
              </a:graphicData>
            </a:graphic>
          </wp:inline>
        </w:drawing>
      </w:r>
    </w:p>
    <w:p w14:paraId="42F5608F" w14:textId="0ECD1EA7" w:rsidR="008838B4" w:rsidRPr="006704EE" w:rsidRDefault="008838B4" w:rsidP="005746B7">
      <w:pPr>
        <w:rPr>
          <w:rFonts w:asciiTheme="minorHAnsi" w:hAnsiTheme="minorHAnsi"/>
          <w:color w:val="444444"/>
          <w:sz w:val="20"/>
          <w:szCs w:val="20"/>
          <w:shd w:val="clear" w:color="auto" w:fill="FFFFFF"/>
        </w:rPr>
      </w:pPr>
      <w:r w:rsidRPr="006704EE">
        <w:rPr>
          <w:rFonts w:asciiTheme="minorHAnsi" w:eastAsiaTheme="minorHAnsi" w:hAnsiTheme="minorHAnsi"/>
          <w:sz w:val="20"/>
          <w:szCs w:val="20"/>
          <w:lang w:eastAsia="en-US"/>
        </w:rPr>
        <w:t xml:space="preserve">Source: </w:t>
      </w:r>
      <w:r w:rsidR="005746B7" w:rsidRPr="006704EE">
        <w:rPr>
          <w:rFonts w:asciiTheme="minorHAnsi" w:hAnsiTheme="minorHAnsi"/>
          <w:color w:val="444444"/>
          <w:sz w:val="20"/>
          <w:szCs w:val="20"/>
          <w:shd w:val="clear" w:color="auto" w:fill="FFFFFF"/>
        </w:rPr>
        <w:t>Springboard. Economic and Social Research Council. Springboard's Footfall Benchmark Data, 2018 [</w:t>
      </w:r>
      <w:r w:rsidR="00E86F5A" w:rsidRPr="006704EE">
        <w:rPr>
          <w:rFonts w:asciiTheme="minorHAnsi" w:hAnsiTheme="minorHAnsi"/>
          <w:color w:val="444444"/>
          <w:sz w:val="20"/>
          <w:szCs w:val="20"/>
          <w:shd w:val="clear" w:color="auto" w:fill="FFFFFF"/>
        </w:rPr>
        <w:t>2019</w:t>
      </w:r>
      <w:r w:rsidR="005746B7" w:rsidRPr="006704EE">
        <w:rPr>
          <w:rFonts w:asciiTheme="minorHAnsi" w:hAnsiTheme="minorHAnsi"/>
          <w:color w:val="444444"/>
          <w:sz w:val="20"/>
          <w:szCs w:val="20"/>
          <w:shd w:val="clear" w:color="auto" w:fill="FFFFFF"/>
        </w:rPr>
        <w:t xml:space="preserve">]. University of Glasgow - Urban Big Data Centre and </w:t>
      </w:r>
      <w:r w:rsidRPr="006704EE">
        <w:rPr>
          <w:rFonts w:asciiTheme="minorHAnsi" w:eastAsiaTheme="minorHAnsi" w:hAnsiTheme="minorHAnsi"/>
          <w:sz w:val="20"/>
          <w:szCs w:val="20"/>
          <w:lang w:eastAsia="en-US"/>
        </w:rPr>
        <w:t>Liverpool Bid Company</w:t>
      </w:r>
      <w:r w:rsidR="00F46539">
        <w:rPr>
          <w:rFonts w:asciiTheme="minorHAnsi" w:eastAsiaTheme="minorHAnsi" w:hAnsiTheme="minorHAnsi"/>
          <w:sz w:val="20"/>
          <w:szCs w:val="20"/>
          <w:lang w:eastAsia="en-US"/>
        </w:rPr>
        <w:t>.</w:t>
      </w:r>
    </w:p>
    <w:p w14:paraId="3F83F29B" w14:textId="77777777" w:rsidR="00EB24B1" w:rsidRPr="0058634B" w:rsidRDefault="00EB24B1" w:rsidP="00656A68">
      <w:pPr>
        <w:spacing w:line="360" w:lineRule="auto"/>
        <w:jc w:val="both"/>
        <w:rPr>
          <w:rFonts w:asciiTheme="minorHAnsi" w:eastAsiaTheme="minorHAnsi" w:hAnsiTheme="minorHAnsi"/>
          <w:lang w:eastAsia="en-US"/>
        </w:rPr>
      </w:pPr>
    </w:p>
    <w:p w14:paraId="2736925D" w14:textId="5D3F13DA" w:rsidR="004E7B56" w:rsidRPr="0058634B" w:rsidRDefault="004E7B56" w:rsidP="00656A68">
      <w:pPr>
        <w:spacing w:line="360" w:lineRule="auto"/>
        <w:jc w:val="both"/>
        <w:rPr>
          <w:rFonts w:asciiTheme="minorHAnsi" w:eastAsiaTheme="minorHAnsi" w:hAnsiTheme="minorHAnsi"/>
          <w:lang w:eastAsia="en-US"/>
        </w:rPr>
      </w:pPr>
      <w:r w:rsidRPr="0058634B">
        <w:rPr>
          <w:rFonts w:asciiTheme="minorHAnsi" w:eastAsiaTheme="minorHAnsi" w:hAnsiTheme="minorHAnsi"/>
          <w:lang w:eastAsia="en-US"/>
        </w:rPr>
        <w:t>Buchanan Street and secti</w:t>
      </w:r>
      <w:r w:rsidR="003576CF" w:rsidRPr="0058634B">
        <w:rPr>
          <w:rFonts w:asciiTheme="minorHAnsi" w:eastAsiaTheme="minorHAnsi" w:hAnsiTheme="minorHAnsi"/>
          <w:lang w:eastAsia="en-US"/>
        </w:rPr>
        <w:t>o</w:t>
      </w:r>
      <w:r w:rsidRPr="0058634B">
        <w:rPr>
          <w:rFonts w:asciiTheme="minorHAnsi" w:eastAsiaTheme="minorHAnsi" w:hAnsiTheme="minorHAnsi"/>
          <w:lang w:eastAsia="en-US"/>
        </w:rPr>
        <w:t xml:space="preserve">ns of Sauchiehall and Argyle Streets are pedestrianised. </w:t>
      </w:r>
      <w:r w:rsidR="003576CF" w:rsidRPr="0058634B">
        <w:rPr>
          <w:rFonts w:asciiTheme="minorHAnsi" w:eastAsiaTheme="minorHAnsi" w:hAnsiTheme="minorHAnsi"/>
          <w:lang w:eastAsia="en-US"/>
        </w:rPr>
        <w:t xml:space="preserve">Work was undertaken in 2018/19 to rejuvenate the non-pedestrianised end of Sauchiehall Street as part of </w:t>
      </w:r>
      <w:r w:rsidR="003576CF" w:rsidRPr="0058634B">
        <w:rPr>
          <w:rFonts w:asciiTheme="minorHAnsi" w:eastAsiaTheme="minorHAnsi" w:hAnsiTheme="minorHAnsi"/>
          <w:i/>
          <w:iCs/>
          <w:lang w:eastAsia="en-US"/>
        </w:rPr>
        <w:t>The Avenues</w:t>
      </w:r>
      <w:r w:rsidR="003576CF" w:rsidRPr="0058634B">
        <w:rPr>
          <w:rFonts w:asciiTheme="minorHAnsi" w:eastAsiaTheme="minorHAnsi" w:hAnsiTheme="minorHAnsi"/>
          <w:lang w:eastAsia="en-US"/>
        </w:rPr>
        <w:t xml:space="preserve"> Project. This was the first phase of a larger transformation to the city centre, funded by £115million Glasgow City Region City Deal, to improve the accessibility of the city and involves plans to provide an</w:t>
      </w:r>
      <w:r w:rsidR="003576CF" w:rsidRPr="0058634B">
        <w:rPr>
          <w:rFonts w:asciiTheme="minorHAnsi" w:hAnsiTheme="minorHAnsi"/>
        </w:rPr>
        <w:t xml:space="preserve"> </w:t>
      </w:r>
      <w:r w:rsidR="003576CF" w:rsidRPr="0058634B">
        <w:rPr>
          <w:rFonts w:asciiTheme="minorHAnsi" w:eastAsiaTheme="minorHAnsi" w:hAnsiTheme="minorHAnsi"/>
          <w:lang w:eastAsia="en-US"/>
        </w:rPr>
        <w:t>integrated network of continuous pedestrian and cycle routes, improve the public realm and reduce on-street parking.</w:t>
      </w:r>
    </w:p>
    <w:p w14:paraId="05C233DC" w14:textId="064C3F5D" w:rsidR="003576CF" w:rsidRPr="0058634B" w:rsidRDefault="003576CF" w:rsidP="00656A68">
      <w:pPr>
        <w:spacing w:line="360" w:lineRule="auto"/>
        <w:jc w:val="both"/>
        <w:rPr>
          <w:rFonts w:asciiTheme="minorHAnsi" w:eastAsiaTheme="minorHAnsi" w:hAnsiTheme="minorHAnsi"/>
          <w:lang w:eastAsia="en-US"/>
        </w:rPr>
      </w:pPr>
    </w:p>
    <w:p w14:paraId="36278E5B" w14:textId="0219AC83" w:rsidR="003576CF" w:rsidRPr="0058634B" w:rsidRDefault="007A25CB" w:rsidP="00656A68">
      <w:pPr>
        <w:spacing w:line="360" w:lineRule="auto"/>
        <w:jc w:val="both"/>
        <w:rPr>
          <w:rFonts w:asciiTheme="minorHAnsi" w:eastAsiaTheme="minorHAnsi" w:hAnsiTheme="minorHAnsi"/>
          <w:lang w:eastAsia="en-US"/>
        </w:rPr>
      </w:pPr>
      <w:r w:rsidRPr="0058634B">
        <w:rPr>
          <w:rFonts w:asciiTheme="minorHAnsi" w:eastAsiaTheme="minorHAnsi" w:hAnsiTheme="minorHAnsi"/>
          <w:lang w:eastAsia="en-US"/>
        </w:rPr>
        <w:t>An</w:t>
      </w:r>
      <w:r w:rsidR="009A7579" w:rsidRPr="0058634B">
        <w:rPr>
          <w:rFonts w:asciiTheme="minorHAnsi" w:eastAsiaTheme="minorHAnsi" w:hAnsiTheme="minorHAnsi"/>
          <w:lang w:eastAsia="en-US"/>
        </w:rPr>
        <w:t>o</w:t>
      </w:r>
      <w:r w:rsidR="003576CF" w:rsidRPr="0058634B">
        <w:rPr>
          <w:rFonts w:asciiTheme="minorHAnsi" w:eastAsiaTheme="minorHAnsi" w:hAnsiTheme="minorHAnsi"/>
          <w:lang w:eastAsia="en-US"/>
        </w:rPr>
        <w:t xml:space="preserve">ther important change to Glasgow’s retailing area has been </w:t>
      </w:r>
      <w:r w:rsidR="00915F44">
        <w:rPr>
          <w:rFonts w:asciiTheme="minorHAnsi" w:eastAsiaTheme="minorHAnsi" w:hAnsiTheme="minorHAnsi"/>
          <w:lang w:eastAsia="en-US"/>
        </w:rPr>
        <w:t xml:space="preserve">triggered by </w:t>
      </w:r>
      <w:r w:rsidR="003576CF" w:rsidRPr="0058634B">
        <w:rPr>
          <w:rFonts w:asciiTheme="minorHAnsi" w:eastAsiaTheme="minorHAnsi" w:hAnsiTheme="minorHAnsi"/>
          <w:lang w:eastAsia="en-US"/>
        </w:rPr>
        <w:t xml:space="preserve">two large fires on Sauchiehall Street. </w:t>
      </w:r>
      <w:r w:rsidR="00BD709D" w:rsidRPr="0058634B">
        <w:rPr>
          <w:rFonts w:asciiTheme="minorHAnsi" w:eastAsiaTheme="minorHAnsi" w:hAnsiTheme="minorHAnsi"/>
          <w:lang w:eastAsia="en-US"/>
        </w:rPr>
        <w:t>The first was a nightclub in March 2018 which closed a section of the street for three months and a break now exists in the retail frontage</w:t>
      </w:r>
      <w:r w:rsidR="009A7579" w:rsidRPr="0058634B">
        <w:rPr>
          <w:rFonts w:asciiTheme="minorHAnsi" w:eastAsiaTheme="minorHAnsi" w:hAnsiTheme="minorHAnsi"/>
          <w:lang w:eastAsia="en-US"/>
        </w:rPr>
        <w:t>s</w:t>
      </w:r>
      <w:r w:rsidR="00BD709D" w:rsidRPr="0058634B">
        <w:rPr>
          <w:rFonts w:asciiTheme="minorHAnsi" w:eastAsiaTheme="minorHAnsi" w:hAnsiTheme="minorHAnsi"/>
          <w:lang w:eastAsia="en-US"/>
        </w:rPr>
        <w:t xml:space="preserve"> as a building had to be demolished. The second was the School of Art fire in June of the same year</w:t>
      </w:r>
      <w:r w:rsidR="00864B9E">
        <w:rPr>
          <w:rFonts w:asciiTheme="minorHAnsi" w:eastAsiaTheme="minorHAnsi" w:hAnsiTheme="minorHAnsi"/>
          <w:lang w:eastAsia="en-US"/>
        </w:rPr>
        <w:t>, just four years after another fire that caused severe damage to the structure</w:t>
      </w:r>
      <w:r w:rsidR="00BD709D" w:rsidRPr="0058634B">
        <w:rPr>
          <w:rFonts w:asciiTheme="minorHAnsi" w:eastAsiaTheme="minorHAnsi" w:hAnsiTheme="minorHAnsi"/>
          <w:lang w:eastAsia="en-US"/>
        </w:rPr>
        <w:t xml:space="preserve">. These fires have had a significant and lasting impact on retailers and leisure operators, contributing to </w:t>
      </w:r>
      <w:r w:rsidR="00182F05">
        <w:rPr>
          <w:rFonts w:asciiTheme="minorHAnsi" w:eastAsiaTheme="minorHAnsi" w:hAnsiTheme="minorHAnsi"/>
          <w:lang w:eastAsia="en-US"/>
        </w:rPr>
        <w:t>a physical</w:t>
      </w:r>
      <w:r w:rsidR="00BD709D" w:rsidRPr="0058634B">
        <w:rPr>
          <w:rFonts w:asciiTheme="minorHAnsi" w:eastAsiaTheme="minorHAnsi" w:hAnsiTheme="minorHAnsi"/>
          <w:lang w:eastAsia="en-US"/>
        </w:rPr>
        <w:t xml:space="preserve"> decline in Sauchiehall Street.</w:t>
      </w:r>
    </w:p>
    <w:p w14:paraId="2EFE2E14" w14:textId="77777777" w:rsidR="00121BD6" w:rsidRPr="0058634B" w:rsidRDefault="00121BD6" w:rsidP="002C4DD7">
      <w:pPr>
        <w:rPr>
          <w:rFonts w:asciiTheme="minorHAnsi" w:eastAsiaTheme="minorHAnsi" w:hAnsiTheme="minorHAnsi"/>
          <w:lang w:eastAsia="en-US"/>
        </w:rPr>
      </w:pPr>
    </w:p>
    <w:p w14:paraId="0FAAF582" w14:textId="357F4946" w:rsidR="002C4DD7" w:rsidRPr="0017018A" w:rsidRDefault="002C4DD7" w:rsidP="00501C4B">
      <w:pPr>
        <w:pStyle w:val="Heading2"/>
        <w:spacing w:line="360" w:lineRule="auto"/>
        <w:rPr>
          <w:rFonts w:asciiTheme="minorHAnsi" w:hAnsiTheme="minorHAnsi" w:cstheme="minorHAnsi"/>
          <w:b/>
          <w:bCs/>
          <w:i/>
          <w:iCs/>
          <w:sz w:val="24"/>
          <w:szCs w:val="24"/>
        </w:rPr>
      </w:pPr>
      <w:r w:rsidRPr="0017018A">
        <w:rPr>
          <w:rFonts w:asciiTheme="minorHAnsi" w:hAnsiTheme="minorHAnsi" w:cstheme="minorHAnsi"/>
          <w:b/>
          <w:bCs/>
          <w:i/>
          <w:iCs/>
          <w:sz w:val="24"/>
          <w:szCs w:val="24"/>
        </w:rPr>
        <w:t>Hull</w:t>
      </w:r>
    </w:p>
    <w:p w14:paraId="3C1530EF" w14:textId="6A79242D" w:rsidR="00656A68" w:rsidRDefault="000F0C9C" w:rsidP="00656A68">
      <w:pPr>
        <w:spacing w:line="360" w:lineRule="auto"/>
        <w:jc w:val="both"/>
        <w:rPr>
          <w:rFonts w:asciiTheme="minorHAnsi" w:eastAsiaTheme="minorHAnsi" w:hAnsiTheme="minorHAnsi"/>
          <w:lang w:eastAsia="en-US"/>
        </w:rPr>
      </w:pPr>
      <w:r w:rsidRPr="00182F05">
        <w:rPr>
          <w:rFonts w:asciiTheme="minorHAnsi" w:eastAsiaTheme="minorHAnsi" w:hAnsiTheme="minorHAnsi"/>
          <w:lang w:eastAsia="en-US"/>
        </w:rPr>
        <w:t xml:space="preserve">The </w:t>
      </w:r>
      <w:r w:rsidR="0002530A">
        <w:rPr>
          <w:rFonts w:asciiTheme="minorHAnsi" w:eastAsiaTheme="minorHAnsi" w:hAnsiTheme="minorHAnsi"/>
          <w:lang w:eastAsia="en-US"/>
        </w:rPr>
        <w:t xml:space="preserve">second </w:t>
      </w:r>
      <w:r w:rsidRPr="00182F05">
        <w:rPr>
          <w:rFonts w:asciiTheme="minorHAnsi" w:eastAsiaTheme="minorHAnsi" w:hAnsiTheme="minorHAnsi"/>
          <w:lang w:eastAsia="en-US"/>
        </w:rPr>
        <w:t xml:space="preserve">smallest of </w:t>
      </w:r>
      <w:r w:rsidR="00915F44">
        <w:rPr>
          <w:rFonts w:asciiTheme="minorHAnsi" w:eastAsiaTheme="minorHAnsi" w:hAnsiTheme="minorHAnsi"/>
          <w:lang w:eastAsia="en-US"/>
        </w:rPr>
        <w:t>the</w:t>
      </w:r>
      <w:r w:rsidRPr="00182F05">
        <w:rPr>
          <w:rFonts w:asciiTheme="minorHAnsi" w:eastAsiaTheme="minorHAnsi" w:hAnsiTheme="minorHAnsi"/>
          <w:lang w:eastAsia="en-US"/>
        </w:rPr>
        <w:t xml:space="preserve"> case study retailing </w:t>
      </w:r>
      <w:r w:rsidR="00864B9E">
        <w:rPr>
          <w:rFonts w:asciiTheme="minorHAnsi" w:eastAsiaTheme="minorHAnsi" w:hAnsiTheme="minorHAnsi"/>
          <w:lang w:eastAsia="en-US"/>
        </w:rPr>
        <w:t>areas</w:t>
      </w:r>
      <w:r w:rsidR="007D7A0E" w:rsidRPr="00182F05">
        <w:rPr>
          <w:rFonts w:asciiTheme="minorHAnsi" w:eastAsiaTheme="minorHAnsi" w:hAnsiTheme="minorHAnsi"/>
          <w:lang w:eastAsia="en-US"/>
        </w:rPr>
        <w:t xml:space="preserve"> is Hull which covers </w:t>
      </w:r>
      <w:r w:rsidR="00B20F92" w:rsidRPr="00182F05">
        <w:rPr>
          <w:rFonts w:asciiTheme="minorHAnsi" w:eastAsiaTheme="minorHAnsi" w:hAnsiTheme="minorHAnsi"/>
          <w:lang w:eastAsia="en-US"/>
        </w:rPr>
        <w:t>0.335k</w:t>
      </w:r>
      <w:r w:rsidR="007D7A0E" w:rsidRPr="00182F05">
        <w:rPr>
          <w:rFonts w:asciiTheme="minorHAnsi" w:eastAsiaTheme="minorHAnsi" w:hAnsiTheme="minorHAnsi"/>
          <w:lang w:eastAsia="en-US"/>
        </w:rPr>
        <w:t>m</w:t>
      </w:r>
      <w:r w:rsidR="007D7A0E" w:rsidRPr="00182F05">
        <w:rPr>
          <w:rFonts w:asciiTheme="minorHAnsi" w:eastAsiaTheme="minorHAnsi" w:hAnsiTheme="minorHAnsi"/>
          <w:vertAlign w:val="superscript"/>
          <w:lang w:eastAsia="en-US"/>
        </w:rPr>
        <w:t>2</w:t>
      </w:r>
      <w:r w:rsidR="00B20F92" w:rsidRPr="00182F05">
        <w:rPr>
          <w:rFonts w:asciiTheme="minorHAnsi" w:eastAsiaTheme="minorHAnsi" w:hAnsiTheme="minorHAnsi"/>
          <w:lang w:eastAsia="en-US"/>
        </w:rPr>
        <w:t xml:space="preserve"> (0.129 square miles)</w:t>
      </w:r>
      <w:r w:rsidR="00182F05">
        <w:rPr>
          <w:rFonts w:asciiTheme="minorHAnsi" w:eastAsiaTheme="minorHAnsi" w:hAnsiTheme="minorHAnsi"/>
          <w:lang w:eastAsia="en-US"/>
        </w:rPr>
        <w:t xml:space="preserve">. </w:t>
      </w:r>
      <w:r w:rsidR="00B93C1C" w:rsidRPr="00182F05">
        <w:rPr>
          <w:rFonts w:asciiTheme="minorHAnsi" w:eastAsiaTheme="minorHAnsi" w:hAnsiTheme="minorHAnsi"/>
          <w:lang w:eastAsia="en-US"/>
        </w:rPr>
        <w:t xml:space="preserve">Retail floorspace </w:t>
      </w:r>
      <w:r w:rsidR="00225757" w:rsidRPr="00182F05">
        <w:rPr>
          <w:rFonts w:asciiTheme="minorHAnsi" w:eastAsiaTheme="minorHAnsi" w:hAnsiTheme="minorHAnsi"/>
          <w:lang w:eastAsia="en-US"/>
        </w:rPr>
        <w:t xml:space="preserve">in Hull’s city centre </w:t>
      </w:r>
      <w:r w:rsidR="00B93C1C" w:rsidRPr="00182F05">
        <w:rPr>
          <w:rFonts w:asciiTheme="minorHAnsi" w:eastAsiaTheme="minorHAnsi" w:hAnsiTheme="minorHAnsi"/>
          <w:lang w:eastAsia="en-US"/>
        </w:rPr>
        <w:t>constitutes 174,000m</w:t>
      </w:r>
      <w:r w:rsidR="00B93C1C" w:rsidRPr="00182F05">
        <w:rPr>
          <w:rFonts w:asciiTheme="minorHAnsi" w:eastAsiaTheme="minorHAnsi" w:hAnsiTheme="minorHAnsi"/>
          <w:vertAlign w:val="superscript"/>
          <w:lang w:eastAsia="en-US"/>
        </w:rPr>
        <w:t>2</w:t>
      </w:r>
      <w:r w:rsidR="00BF432A" w:rsidRPr="00182F05">
        <w:rPr>
          <w:rFonts w:asciiTheme="minorHAnsi" w:eastAsiaTheme="minorHAnsi" w:hAnsiTheme="minorHAnsi"/>
          <w:lang w:eastAsia="en-US"/>
        </w:rPr>
        <w:t xml:space="preserve"> with r</w:t>
      </w:r>
      <w:r w:rsidR="00207CB6" w:rsidRPr="00182F05">
        <w:rPr>
          <w:rFonts w:asciiTheme="minorHAnsi" w:eastAsiaTheme="minorHAnsi" w:hAnsiTheme="minorHAnsi"/>
          <w:lang w:eastAsia="en-US"/>
        </w:rPr>
        <w:t xml:space="preserve">etail, </w:t>
      </w:r>
      <w:r w:rsidR="008838B4" w:rsidRPr="00182F05">
        <w:rPr>
          <w:rFonts w:asciiTheme="minorHAnsi" w:eastAsiaTheme="minorHAnsi" w:hAnsiTheme="minorHAnsi"/>
          <w:lang w:eastAsia="en-US"/>
        </w:rPr>
        <w:t xml:space="preserve">food </w:t>
      </w:r>
      <w:r w:rsidR="00EB727F">
        <w:rPr>
          <w:rFonts w:asciiTheme="minorHAnsi" w:eastAsiaTheme="minorHAnsi" w:hAnsiTheme="minorHAnsi"/>
          <w:lang w:eastAsia="en-US"/>
        </w:rPr>
        <w:t>and</w:t>
      </w:r>
      <w:r w:rsidR="008838B4" w:rsidRPr="00182F05">
        <w:rPr>
          <w:rFonts w:asciiTheme="minorHAnsi" w:eastAsiaTheme="minorHAnsi" w:hAnsiTheme="minorHAnsi"/>
          <w:lang w:eastAsia="en-US"/>
        </w:rPr>
        <w:t xml:space="preserve"> drink</w:t>
      </w:r>
      <w:r w:rsidR="00207CB6" w:rsidRPr="00182F05">
        <w:rPr>
          <w:rFonts w:asciiTheme="minorHAnsi" w:eastAsiaTheme="minorHAnsi" w:hAnsiTheme="minorHAnsi"/>
          <w:lang w:eastAsia="en-US"/>
        </w:rPr>
        <w:t xml:space="preserve"> and </w:t>
      </w:r>
      <w:r w:rsidR="008838B4" w:rsidRPr="00182F05">
        <w:rPr>
          <w:rFonts w:asciiTheme="minorHAnsi" w:eastAsiaTheme="minorHAnsi" w:hAnsiTheme="minorHAnsi"/>
          <w:lang w:eastAsia="en-US"/>
        </w:rPr>
        <w:lastRenderedPageBreak/>
        <w:t>l</w:t>
      </w:r>
      <w:r w:rsidR="00207CB6" w:rsidRPr="00182F05">
        <w:rPr>
          <w:rFonts w:asciiTheme="minorHAnsi" w:eastAsiaTheme="minorHAnsi" w:hAnsiTheme="minorHAnsi"/>
          <w:lang w:eastAsia="en-US"/>
        </w:rPr>
        <w:t>eisure contribut</w:t>
      </w:r>
      <w:r w:rsidR="00BF432A" w:rsidRPr="00182F05">
        <w:rPr>
          <w:rFonts w:asciiTheme="minorHAnsi" w:eastAsiaTheme="minorHAnsi" w:hAnsiTheme="minorHAnsi"/>
          <w:lang w:eastAsia="en-US"/>
        </w:rPr>
        <w:t xml:space="preserve">ing </w:t>
      </w:r>
      <w:r w:rsidR="00207CB6" w:rsidRPr="00182F05">
        <w:rPr>
          <w:rFonts w:asciiTheme="minorHAnsi" w:eastAsiaTheme="minorHAnsi" w:hAnsiTheme="minorHAnsi"/>
          <w:lang w:eastAsia="en-US"/>
        </w:rPr>
        <w:t xml:space="preserve">8.5% </w:t>
      </w:r>
      <w:r w:rsidR="00225757" w:rsidRPr="00182F05">
        <w:rPr>
          <w:rFonts w:asciiTheme="minorHAnsi" w:eastAsiaTheme="minorHAnsi" w:hAnsiTheme="minorHAnsi"/>
          <w:lang w:eastAsia="en-US"/>
        </w:rPr>
        <w:t>of</w:t>
      </w:r>
      <w:r w:rsidR="00207CB6" w:rsidRPr="00182F05">
        <w:rPr>
          <w:rFonts w:asciiTheme="minorHAnsi" w:eastAsiaTheme="minorHAnsi" w:hAnsiTheme="minorHAnsi"/>
          <w:lang w:eastAsia="en-US"/>
        </w:rPr>
        <w:t xml:space="preserve"> GVA generated by the local economy.</w:t>
      </w:r>
      <w:r w:rsidR="00BF432A" w:rsidRPr="00182F05">
        <w:rPr>
          <w:rFonts w:asciiTheme="minorHAnsi" w:eastAsiaTheme="minorHAnsi" w:hAnsiTheme="minorHAnsi"/>
          <w:lang w:eastAsia="en-US"/>
        </w:rPr>
        <w:t xml:space="preserve"> </w:t>
      </w:r>
      <w:r w:rsidR="00334D71" w:rsidRPr="00182F05">
        <w:rPr>
          <w:rFonts w:asciiTheme="minorHAnsi" w:eastAsiaTheme="minorHAnsi" w:hAnsiTheme="minorHAnsi"/>
          <w:lang w:eastAsia="en-US"/>
        </w:rPr>
        <w:t>A total of 19,000 workers work in retail (</w:t>
      </w:r>
      <w:r w:rsidR="00BF432A" w:rsidRPr="00182F05">
        <w:rPr>
          <w:rFonts w:asciiTheme="minorHAnsi" w:eastAsiaTheme="minorHAnsi" w:hAnsiTheme="minorHAnsi"/>
          <w:lang w:eastAsia="en-US"/>
        </w:rPr>
        <w:t>15% of the city’s workforce</w:t>
      </w:r>
      <w:r w:rsidR="00225757" w:rsidRPr="00182F05">
        <w:rPr>
          <w:rFonts w:asciiTheme="minorHAnsi" w:eastAsiaTheme="minorHAnsi" w:hAnsiTheme="minorHAnsi"/>
          <w:lang w:eastAsia="en-US"/>
        </w:rPr>
        <w:t>)</w:t>
      </w:r>
      <w:r w:rsidR="00334D71" w:rsidRPr="00182F05">
        <w:rPr>
          <w:rFonts w:asciiTheme="minorHAnsi" w:eastAsiaTheme="minorHAnsi" w:hAnsiTheme="minorHAnsi"/>
          <w:lang w:eastAsia="en-US"/>
        </w:rPr>
        <w:t xml:space="preserve"> </w:t>
      </w:r>
      <w:r w:rsidR="00BF432A" w:rsidRPr="00182F05">
        <w:rPr>
          <w:rFonts w:asciiTheme="minorHAnsi" w:eastAsiaTheme="minorHAnsi" w:hAnsiTheme="minorHAnsi"/>
          <w:lang w:eastAsia="en-US"/>
        </w:rPr>
        <w:t xml:space="preserve">(ONS, 2019; </w:t>
      </w:r>
      <w:proofErr w:type="spellStart"/>
      <w:r w:rsidR="00BF432A" w:rsidRPr="00182F05">
        <w:rPr>
          <w:rFonts w:asciiTheme="minorHAnsi" w:eastAsiaTheme="minorHAnsi" w:hAnsiTheme="minorHAnsi"/>
          <w:lang w:eastAsia="en-US"/>
        </w:rPr>
        <w:t>nomis</w:t>
      </w:r>
      <w:proofErr w:type="spellEnd"/>
      <w:r w:rsidR="00BF432A" w:rsidRPr="00182F05">
        <w:rPr>
          <w:rFonts w:asciiTheme="minorHAnsi" w:eastAsiaTheme="minorHAnsi" w:hAnsiTheme="minorHAnsi"/>
          <w:lang w:eastAsia="en-US"/>
        </w:rPr>
        <w:t>, 2020).</w:t>
      </w:r>
      <w:r w:rsidR="00334D71" w:rsidRPr="00182F05">
        <w:rPr>
          <w:rFonts w:asciiTheme="minorHAnsi" w:eastAsiaTheme="minorHAnsi" w:hAnsiTheme="minorHAnsi"/>
          <w:lang w:eastAsia="en-US"/>
        </w:rPr>
        <w:t xml:space="preserve"> The city’s retail offering </w:t>
      </w:r>
      <w:r w:rsidR="00A71CA2">
        <w:rPr>
          <w:rFonts w:asciiTheme="minorHAnsi" w:eastAsiaTheme="minorHAnsi" w:hAnsiTheme="minorHAnsi"/>
          <w:lang w:eastAsia="en-US"/>
        </w:rPr>
        <w:t xml:space="preserve">(summarised in Table 3) </w:t>
      </w:r>
      <w:r w:rsidR="00334D71" w:rsidRPr="00182F05">
        <w:rPr>
          <w:rFonts w:asciiTheme="minorHAnsi" w:eastAsiaTheme="minorHAnsi" w:hAnsiTheme="minorHAnsi"/>
          <w:lang w:eastAsia="en-US"/>
        </w:rPr>
        <w:t xml:space="preserve">comprises three malls – </w:t>
      </w:r>
      <w:r w:rsidR="00182F05">
        <w:rPr>
          <w:rFonts w:asciiTheme="minorHAnsi" w:eastAsiaTheme="minorHAnsi" w:hAnsiTheme="minorHAnsi"/>
          <w:lang w:eastAsia="en-US"/>
        </w:rPr>
        <w:t xml:space="preserve">The </w:t>
      </w:r>
      <w:r w:rsidR="00334D71" w:rsidRPr="00182F05">
        <w:rPr>
          <w:rFonts w:asciiTheme="minorHAnsi" w:eastAsiaTheme="minorHAnsi" w:hAnsiTheme="minorHAnsi"/>
          <w:lang w:eastAsia="en-US"/>
        </w:rPr>
        <w:t xml:space="preserve">Prospect Centre, Princes Quay and St Stephen’s Centre – and two old Victorian arcades that provide space to small independent retailers. Traditionally, the prime retail frontages comprised Jameson Street, </w:t>
      </w:r>
      <w:r w:rsidR="007E53C6">
        <w:rPr>
          <w:rFonts w:asciiTheme="minorHAnsi" w:eastAsiaTheme="minorHAnsi" w:hAnsiTheme="minorHAnsi"/>
          <w:lang w:eastAsia="en-US"/>
        </w:rPr>
        <w:t>King</w:t>
      </w:r>
      <w:r w:rsidR="00334D71" w:rsidRPr="00182F05">
        <w:rPr>
          <w:rFonts w:asciiTheme="minorHAnsi" w:eastAsiaTheme="minorHAnsi" w:hAnsiTheme="minorHAnsi"/>
          <w:lang w:eastAsia="en-US"/>
        </w:rPr>
        <w:t xml:space="preserve"> Edwards Street, Prospect Street and Whitefri</w:t>
      </w:r>
      <w:r w:rsidR="00741EEC">
        <w:rPr>
          <w:rFonts w:asciiTheme="minorHAnsi" w:eastAsiaTheme="minorHAnsi" w:hAnsiTheme="minorHAnsi"/>
          <w:lang w:eastAsia="en-US"/>
        </w:rPr>
        <w:t>a</w:t>
      </w:r>
      <w:r w:rsidR="00334D71" w:rsidRPr="00182F05">
        <w:rPr>
          <w:rFonts w:asciiTheme="minorHAnsi" w:eastAsiaTheme="minorHAnsi" w:hAnsiTheme="minorHAnsi"/>
          <w:lang w:eastAsia="en-US"/>
        </w:rPr>
        <w:t>rgate.</w:t>
      </w:r>
      <w:r w:rsidR="004724DC" w:rsidRPr="00182F05">
        <w:rPr>
          <w:rFonts w:asciiTheme="minorHAnsi" w:eastAsiaTheme="minorHAnsi" w:hAnsiTheme="minorHAnsi"/>
          <w:lang w:eastAsia="en-US"/>
        </w:rPr>
        <w:t xml:space="preserve"> The most recent retail development -</w:t>
      </w:r>
      <w:r w:rsidR="00965DE5">
        <w:rPr>
          <w:rFonts w:asciiTheme="minorHAnsi" w:eastAsiaTheme="minorHAnsi" w:hAnsiTheme="minorHAnsi"/>
          <w:lang w:eastAsia="en-US"/>
        </w:rPr>
        <w:t xml:space="preserve"> </w:t>
      </w:r>
      <w:r w:rsidR="004724DC" w:rsidRPr="00182F05">
        <w:rPr>
          <w:rFonts w:asciiTheme="minorHAnsi" w:eastAsiaTheme="minorHAnsi" w:hAnsiTheme="minorHAnsi"/>
          <w:lang w:eastAsia="en-US"/>
        </w:rPr>
        <w:t>St Stephen</w:t>
      </w:r>
      <w:r w:rsidR="003112E8">
        <w:rPr>
          <w:rFonts w:asciiTheme="minorHAnsi" w:eastAsiaTheme="minorHAnsi" w:hAnsiTheme="minorHAnsi"/>
          <w:lang w:eastAsia="en-US"/>
        </w:rPr>
        <w:t>’</w:t>
      </w:r>
      <w:r w:rsidR="004724DC" w:rsidRPr="00182F05">
        <w:rPr>
          <w:rFonts w:asciiTheme="minorHAnsi" w:eastAsiaTheme="minorHAnsi" w:hAnsiTheme="minorHAnsi"/>
          <w:lang w:eastAsia="en-US"/>
        </w:rPr>
        <w:t>s – was driven by a public-private partnership</w:t>
      </w:r>
      <w:r w:rsidR="008838B4" w:rsidRPr="00182F05">
        <w:rPr>
          <w:rFonts w:asciiTheme="minorHAnsi" w:eastAsiaTheme="minorHAnsi" w:hAnsiTheme="minorHAnsi"/>
          <w:lang w:eastAsia="en-US"/>
        </w:rPr>
        <w:t>,</w:t>
      </w:r>
      <w:r w:rsidR="004724DC" w:rsidRPr="00182F05">
        <w:rPr>
          <w:rFonts w:asciiTheme="minorHAnsi" w:eastAsiaTheme="minorHAnsi" w:hAnsiTheme="minorHAnsi"/>
          <w:lang w:eastAsia="en-US"/>
        </w:rPr>
        <w:t xml:space="preserve"> </w:t>
      </w:r>
      <w:r w:rsidR="00225757" w:rsidRPr="00182F05">
        <w:rPr>
          <w:rFonts w:asciiTheme="minorHAnsi" w:eastAsiaTheme="minorHAnsi" w:hAnsiTheme="minorHAnsi"/>
          <w:lang w:eastAsia="en-US"/>
        </w:rPr>
        <w:t>as part of a regeneration initiative</w:t>
      </w:r>
      <w:r w:rsidR="008838B4" w:rsidRPr="00182F05">
        <w:rPr>
          <w:rFonts w:asciiTheme="minorHAnsi" w:eastAsiaTheme="minorHAnsi" w:hAnsiTheme="minorHAnsi"/>
          <w:lang w:eastAsia="en-US"/>
        </w:rPr>
        <w:t>,</w:t>
      </w:r>
      <w:r w:rsidR="00225757" w:rsidRPr="00182F05">
        <w:rPr>
          <w:rFonts w:asciiTheme="minorHAnsi" w:eastAsiaTheme="minorHAnsi" w:hAnsiTheme="minorHAnsi"/>
          <w:lang w:eastAsia="en-US"/>
        </w:rPr>
        <w:t xml:space="preserve"> to improve the city’s retailing offering </w:t>
      </w:r>
      <w:r w:rsidR="004724DC" w:rsidRPr="00182F05">
        <w:rPr>
          <w:rFonts w:asciiTheme="minorHAnsi" w:eastAsiaTheme="minorHAnsi" w:hAnsiTheme="minorHAnsi"/>
          <w:lang w:eastAsia="en-US"/>
        </w:rPr>
        <w:t>and included a hotel and the Hull Trunk Theatre</w:t>
      </w:r>
      <w:r w:rsidR="00225757" w:rsidRPr="00182F05">
        <w:rPr>
          <w:rFonts w:asciiTheme="minorHAnsi" w:eastAsiaTheme="minorHAnsi" w:hAnsiTheme="minorHAnsi"/>
          <w:lang w:eastAsia="en-US"/>
        </w:rPr>
        <w:t xml:space="preserve"> as part of the </w:t>
      </w:r>
      <w:r w:rsidR="00965DE5">
        <w:rPr>
          <w:rFonts w:asciiTheme="minorHAnsi" w:eastAsiaTheme="minorHAnsi" w:hAnsiTheme="minorHAnsi"/>
          <w:lang w:eastAsia="en-US"/>
        </w:rPr>
        <w:t>re-</w:t>
      </w:r>
      <w:r w:rsidR="00225757" w:rsidRPr="00182F05">
        <w:rPr>
          <w:rFonts w:asciiTheme="minorHAnsi" w:eastAsiaTheme="minorHAnsi" w:hAnsiTheme="minorHAnsi"/>
          <w:lang w:eastAsia="en-US"/>
        </w:rPr>
        <w:t>development package.</w:t>
      </w:r>
    </w:p>
    <w:p w14:paraId="109A419F" w14:textId="08D43A0C" w:rsidR="00207CB6" w:rsidRPr="00182F05" w:rsidRDefault="00207CB6" w:rsidP="00656A68">
      <w:pPr>
        <w:spacing w:line="360" w:lineRule="auto"/>
        <w:jc w:val="both"/>
        <w:rPr>
          <w:rFonts w:asciiTheme="minorHAnsi" w:eastAsiaTheme="minorHAnsi" w:hAnsiTheme="minorHAnsi"/>
          <w:lang w:eastAsia="en-US"/>
        </w:rPr>
      </w:pPr>
    </w:p>
    <w:p w14:paraId="5F8CEAB6" w14:textId="0779E5FF" w:rsidR="00656A68" w:rsidRPr="0058634B" w:rsidRDefault="00656A68" w:rsidP="00F345D5">
      <w:pPr>
        <w:spacing w:line="360" w:lineRule="auto"/>
        <w:rPr>
          <w:rFonts w:asciiTheme="minorHAnsi" w:eastAsiaTheme="minorHAnsi" w:hAnsiTheme="minorHAnsi" w:cstheme="minorHAnsi"/>
          <w:b/>
          <w:bCs/>
          <w:sz w:val="22"/>
          <w:szCs w:val="22"/>
        </w:rPr>
      </w:pPr>
      <w:r w:rsidRPr="0058634B">
        <w:rPr>
          <w:rFonts w:asciiTheme="minorHAnsi" w:eastAsiaTheme="minorHAnsi" w:hAnsiTheme="minorHAnsi" w:cstheme="minorHAnsi"/>
          <w:b/>
          <w:bCs/>
          <w:sz w:val="22"/>
          <w:szCs w:val="22"/>
        </w:rPr>
        <w:t xml:space="preserve">Table </w:t>
      </w:r>
      <w:r w:rsidR="00177139" w:rsidRPr="0058634B">
        <w:rPr>
          <w:rFonts w:asciiTheme="minorHAnsi" w:eastAsiaTheme="minorHAnsi" w:hAnsiTheme="minorHAnsi" w:cstheme="minorHAnsi"/>
          <w:b/>
          <w:bCs/>
          <w:sz w:val="22"/>
          <w:szCs w:val="22"/>
        </w:rPr>
        <w:t>3</w:t>
      </w:r>
      <w:r w:rsidRPr="0058634B">
        <w:rPr>
          <w:rFonts w:asciiTheme="minorHAnsi" w:eastAsiaTheme="minorHAnsi" w:hAnsiTheme="minorHAnsi" w:cstheme="minorHAnsi"/>
          <w:b/>
          <w:bCs/>
          <w:sz w:val="22"/>
          <w:szCs w:val="22"/>
        </w:rPr>
        <w:t>.  Retail Floorspace in Hull</w:t>
      </w:r>
    </w:p>
    <w:tbl>
      <w:tblPr>
        <w:tblW w:w="9710" w:type="dxa"/>
        <w:tblLook w:val="04A0" w:firstRow="1" w:lastRow="0" w:firstColumn="1" w:lastColumn="0" w:noHBand="0" w:noVBand="1"/>
      </w:tblPr>
      <w:tblGrid>
        <w:gridCol w:w="2561"/>
        <w:gridCol w:w="1326"/>
        <w:gridCol w:w="1385"/>
        <w:gridCol w:w="1455"/>
        <w:gridCol w:w="2983"/>
      </w:tblGrid>
      <w:tr w:rsidR="002C4DD7" w:rsidRPr="0058634B" w14:paraId="0E7F715E" w14:textId="77777777" w:rsidTr="003B44A8">
        <w:trPr>
          <w:trHeight w:val="567"/>
        </w:trPr>
        <w:tc>
          <w:tcPr>
            <w:tcW w:w="2561" w:type="dxa"/>
            <w:vMerge w:val="restart"/>
            <w:tcBorders>
              <w:top w:val="triple" w:sz="4" w:space="0" w:color="548DD4" w:themeColor="text2" w:themeTint="99"/>
              <w:left w:val="triple" w:sz="4" w:space="0" w:color="548DD4" w:themeColor="text2" w:themeTint="99"/>
              <w:right w:val="dashSmallGap" w:sz="4" w:space="0" w:color="548DD4" w:themeColor="text2" w:themeTint="99"/>
            </w:tcBorders>
            <w:shd w:val="clear" w:color="auto" w:fill="8DB3E2" w:themeFill="text2" w:themeFillTint="66"/>
            <w:vAlign w:val="center"/>
            <w:hideMark/>
          </w:tcPr>
          <w:p w14:paraId="2C993732" w14:textId="14965C41" w:rsidR="002C4DD7" w:rsidRPr="003B44A8" w:rsidRDefault="00CA69F3" w:rsidP="00B15FBD">
            <w:pPr>
              <w:ind w:firstLine="142"/>
              <w:jc w:val="center"/>
              <w:rPr>
                <w:rFonts w:asciiTheme="minorHAnsi" w:hAnsiTheme="minorHAnsi"/>
                <w:b/>
                <w:bCs/>
                <w:color w:val="000000"/>
                <w:sz w:val="22"/>
                <w:szCs w:val="22"/>
              </w:rPr>
            </w:pPr>
            <w:r w:rsidRPr="003B44A8">
              <w:rPr>
                <w:rFonts w:asciiTheme="minorHAnsi" w:hAnsiTheme="minorHAnsi"/>
                <w:b/>
                <w:bCs/>
                <w:color w:val="000000"/>
                <w:sz w:val="22"/>
                <w:szCs w:val="22"/>
              </w:rPr>
              <w:t>Type of Floorspace</w:t>
            </w:r>
          </w:p>
        </w:tc>
        <w:tc>
          <w:tcPr>
            <w:tcW w:w="1326" w:type="dxa"/>
            <w:vMerge w:val="restart"/>
            <w:tcBorders>
              <w:top w:val="triple" w:sz="4" w:space="0" w:color="548DD4" w:themeColor="text2" w:themeTint="99"/>
              <w:left w:val="dashSmallGap" w:sz="4" w:space="0" w:color="548DD4" w:themeColor="text2" w:themeTint="99"/>
              <w:right w:val="dashSmallGap" w:sz="4" w:space="0" w:color="548DD4" w:themeColor="text2" w:themeTint="99"/>
            </w:tcBorders>
            <w:shd w:val="clear" w:color="auto" w:fill="8DB3E2" w:themeFill="text2" w:themeFillTint="66"/>
            <w:vAlign w:val="center"/>
            <w:hideMark/>
          </w:tcPr>
          <w:p w14:paraId="0CE75122" w14:textId="77777777" w:rsidR="002C4DD7" w:rsidRPr="003B44A8" w:rsidRDefault="002C4DD7" w:rsidP="00B15FBD">
            <w:pPr>
              <w:ind w:firstLine="142"/>
              <w:jc w:val="center"/>
              <w:rPr>
                <w:rFonts w:asciiTheme="minorHAnsi" w:hAnsiTheme="minorHAnsi"/>
                <w:b/>
                <w:bCs/>
                <w:color w:val="000000"/>
                <w:sz w:val="22"/>
                <w:szCs w:val="22"/>
              </w:rPr>
            </w:pPr>
            <w:r w:rsidRPr="003B44A8">
              <w:rPr>
                <w:rFonts w:asciiTheme="minorHAnsi" w:hAnsiTheme="minorHAnsi"/>
                <w:b/>
                <w:bCs/>
                <w:color w:val="000000"/>
                <w:sz w:val="22"/>
                <w:szCs w:val="22"/>
              </w:rPr>
              <w:t>Estimated Floor Area</w:t>
            </w:r>
          </w:p>
        </w:tc>
        <w:tc>
          <w:tcPr>
            <w:tcW w:w="1385" w:type="dxa"/>
            <w:vMerge w:val="restart"/>
            <w:tcBorders>
              <w:top w:val="triple" w:sz="4" w:space="0" w:color="548DD4" w:themeColor="text2" w:themeTint="99"/>
              <w:left w:val="dashSmallGap" w:sz="4" w:space="0" w:color="548DD4" w:themeColor="text2" w:themeTint="99"/>
              <w:right w:val="dashSmallGap" w:sz="4" w:space="0" w:color="548DD4" w:themeColor="text2" w:themeTint="99"/>
            </w:tcBorders>
            <w:shd w:val="clear" w:color="auto" w:fill="8DB3E2" w:themeFill="text2" w:themeFillTint="66"/>
            <w:vAlign w:val="center"/>
            <w:hideMark/>
          </w:tcPr>
          <w:p w14:paraId="21204245" w14:textId="52475668" w:rsidR="002C4DD7" w:rsidRPr="003B44A8" w:rsidRDefault="002C4DD7" w:rsidP="00B15FBD">
            <w:pPr>
              <w:ind w:firstLine="142"/>
              <w:jc w:val="center"/>
              <w:rPr>
                <w:rFonts w:asciiTheme="minorHAnsi" w:hAnsiTheme="minorHAnsi"/>
                <w:b/>
                <w:bCs/>
                <w:color w:val="000000"/>
                <w:sz w:val="22"/>
                <w:szCs w:val="22"/>
              </w:rPr>
            </w:pPr>
            <w:r w:rsidRPr="003B44A8">
              <w:rPr>
                <w:rFonts w:asciiTheme="minorHAnsi" w:hAnsiTheme="minorHAnsi" w:cstheme="minorHAnsi"/>
                <w:b/>
                <w:bCs/>
                <w:color w:val="000000"/>
                <w:sz w:val="22"/>
                <w:szCs w:val="22"/>
              </w:rPr>
              <w:t xml:space="preserve">2017/18 </w:t>
            </w:r>
            <w:r w:rsidR="003B44A8">
              <w:rPr>
                <w:rFonts w:asciiTheme="minorHAnsi" w:hAnsiTheme="minorHAnsi" w:cstheme="minorHAnsi"/>
                <w:b/>
                <w:bCs/>
                <w:color w:val="000000"/>
                <w:sz w:val="22"/>
                <w:szCs w:val="22"/>
              </w:rPr>
              <w:t>S</w:t>
            </w:r>
            <w:r w:rsidRPr="003B44A8">
              <w:rPr>
                <w:rFonts w:asciiTheme="minorHAnsi" w:hAnsiTheme="minorHAnsi" w:cstheme="minorHAnsi"/>
                <w:b/>
                <w:bCs/>
                <w:color w:val="000000"/>
                <w:sz w:val="22"/>
                <w:szCs w:val="22"/>
              </w:rPr>
              <w:t xml:space="preserve">ize </w:t>
            </w:r>
            <w:r w:rsidR="003B44A8">
              <w:rPr>
                <w:rFonts w:asciiTheme="minorHAnsi" w:hAnsiTheme="minorHAnsi" w:cstheme="minorHAnsi"/>
                <w:b/>
                <w:bCs/>
                <w:color w:val="000000"/>
                <w:sz w:val="22"/>
                <w:szCs w:val="22"/>
              </w:rPr>
              <w:t>(</w:t>
            </w:r>
            <w:r w:rsidRPr="003B44A8">
              <w:rPr>
                <w:rFonts w:asciiTheme="minorHAnsi" w:hAnsiTheme="minorHAnsi" w:cstheme="minorHAnsi"/>
                <w:b/>
                <w:bCs/>
                <w:color w:val="000000"/>
                <w:sz w:val="22"/>
                <w:szCs w:val="22"/>
              </w:rPr>
              <w:t>square metre</w:t>
            </w:r>
            <w:r w:rsidR="003B44A8">
              <w:rPr>
                <w:rFonts w:asciiTheme="minorHAnsi" w:hAnsiTheme="minorHAnsi" w:cstheme="minorHAnsi"/>
                <w:b/>
                <w:bCs/>
                <w:color w:val="000000"/>
                <w:sz w:val="22"/>
                <w:szCs w:val="22"/>
              </w:rPr>
              <w:t>)</w:t>
            </w:r>
          </w:p>
        </w:tc>
        <w:tc>
          <w:tcPr>
            <w:tcW w:w="1455" w:type="dxa"/>
            <w:vMerge w:val="restart"/>
            <w:tcBorders>
              <w:top w:val="triple" w:sz="4" w:space="0" w:color="548DD4" w:themeColor="text2" w:themeTint="99"/>
              <w:left w:val="dashSmallGap" w:sz="4" w:space="0" w:color="548DD4" w:themeColor="text2" w:themeTint="99"/>
              <w:right w:val="dashSmallGap" w:sz="4" w:space="0" w:color="548DD4" w:themeColor="text2" w:themeTint="99"/>
            </w:tcBorders>
            <w:shd w:val="clear" w:color="auto" w:fill="8DB3E2" w:themeFill="text2" w:themeFillTint="66"/>
            <w:vAlign w:val="center"/>
            <w:hideMark/>
          </w:tcPr>
          <w:p w14:paraId="6D9B1E64" w14:textId="3DAFEDF9" w:rsidR="002C4DD7" w:rsidRPr="003B44A8" w:rsidRDefault="00CA69F3" w:rsidP="00B15FBD">
            <w:pPr>
              <w:ind w:firstLine="142"/>
              <w:jc w:val="center"/>
              <w:rPr>
                <w:rFonts w:asciiTheme="minorHAnsi" w:hAnsiTheme="minorHAnsi"/>
                <w:b/>
                <w:bCs/>
                <w:color w:val="000000"/>
                <w:sz w:val="22"/>
                <w:szCs w:val="22"/>
              </w:rPr>
            </w:pPr>
            <w:r w:rsidRPr="003B44A8">
              <w:rPr>
                <w:rFonts w:asciiTheme="minorHAnsi" w:hAnsiTheme="minorHAnsi" w:cstheme="minorHAnsi"/>
                <w:b/>
                <w:bCs/>
                <w:color w:val="000000"/>
                <w:sz w:val="22"/>
                <w:szCs w:val="22"/>
              </w:rPr>
              <w:t>Mall O</w:t>
            </w:r>
            <w:r w:rsidR="002C4DD7" w:rsidRPr="003B44A8">
              <w:rPr>
                <w:rFonts w:asciiTheme="minorHAnsi" w:hAnsiTheme="minorHAnsi" w:cstheme="minorHAnsi"/>
                <w:b/>
                <w:bCs/>
                <w:color w:val="000000"/>
                <w:sz w:val="22"/>
                <w:szCs w:val="22"/>
              </w:rPr>
              <w:t>pening</w:t>
            </w:r>
          </w:p>
        </w:tc>
        <w:tc>
          <w:tcPr>
            <w:tcW w:w="2983" w:type="dxa"/>
            <w:vMerge w:val="restart"/>
            <w:tcBorders>
              <w:top w:val="triple" w:sz="4" w:space="0" w:color="548DD4" w:themeColor="text2" w:themeTint="99"/>
              <w:left w:val="dashSmallGap" w:sz="4" w:space="0" w:color="548DD4" w:themeColor="text2" w:themeTint="99"/>
              <w:right w:val="triple" w:sz="4" w:space="0" w:color="548DD4" w:themeColor="text2" w:themeTint="99"/>
            </w:tcBorders>
            <w:shd w:val="clear" w:color="auto" w:fill="8DB3E2" w:themeFill="text2" w:themeFillTint="66"/>
            <w:vAlign w:val="center"/>
            <w:hideMark/>
          </w:tcPr>
          <w:p w14:paraId="72E9CD8C" w14:textId="77777777" w:rsidR="002C4DD7" w:rsidRPr="003B44A8" w:rsidRDefault="002C4DD7" w:rsidP="00B15FBD">
            <w:pPr>
              <w:ind w:firstLine="142"/>
              <w:jc w:val="center"/>
              <w:rPr>
                <w:rFonts w:asciiTheme="minorHAnsi" w:hAnsiTheme="minorHAnsi"/>
                <w:b/>
                <w:bCs/>
                <w:color w:val="000000"/>
                <w:sz w:val="22"/>
                <w:szCs w:val="22"/>
              </w:rPr>
            </w:pPr>
            <w:r w:rsidRPr="003B44A8">
              <w:rPr>
                <w:rFonts w:asciiTheme="minorHAnsi" w:hAnsiTheme="minorHAnsi"/>
                <w:b/>
                <w:bCs/>
                <w:color w:val="000000"/>
                <w:sz w:val="22"/>
                <w:szCs w:val="22"/>
              </w:rPr>
              <w:t>Refurbishment/Extension</w:t>
            </w:r>
          </w:p>
        </w:tc>
      </w:tr>
      <w:tr w:rsidR="002C4DD7" w:rsidRPr="0058634B" w14:paraId="2A5D9B28" w14:textId="77777777" w:rsidTr="003B44A8">
        <w:trPr>
          <w:trHeight w:val="537"/>
        </w:trPr>
        <w:tc>
          <w:tcPr>
            <w:tcW w:w="2561" w:type="dxa"/>
            <w:vMerge/>
            <w:tcBorders>
              <w:top w:val="dashed" w:sz="18" w:space="0" w:color="548DD4" w:themeColor="text2" w:themeTint="99"/>
              <w:left w:val="triple" w:sz="4" w:space="0" w:color="548DD4" w:themeColor="text2" w:themeTint="99"/>
              <w:right w:val="dashSmallGap" w:sz="4" w:space="0" w:color="548DD4" w:themeColor="text2" w:themeTint="99"/>
            </w:tcBorders>
            <w:shd w:val="clear" w:color="auto" w:fill="8DB3E2" w:themeFill="text2" w:themeFillTint="66"/>
            <w:vAlign w:val="center"/>
            <w:hideMark/>
          </w:tcPr>
          <w:p w14:paraId="4A2CE037" w14:textId="77777777" w:rsidR="002C4DD7" w:rsidRPr="003B44A8" w:rsidRDefault="002C4DD7" w:rsidP="00B15FBD">
            <w:pPr>
              <w:ind w:firstLine="142"/>
              <w:rPr>
                <w:rFonts w:asciiTheme="minorHAnsi" w:hAnsiTheme="minorHAnsi"/>
                <w:b/>
                <w:bCs/>
                <w:color w:val="000000"/>
                <w:sz w:val="22"/>
                <w:szCs w:val="22"/>
              </w:rPr>
            </w:pPr>
          </w:p>
        </w:tc>
        <w:tc>
          <w:tcPr>
            <w:tcW w:w="1326" w:type="dxa"/>
            <w:vMerge/>
            <w:tcBorders>
              <w:top w:val="dashed" w:sz="18" w:space="0" w:color="548DD4" w:themeColor="text2" w:themeTint="99"/>
              <w:left w:val="dashSmallGap" w:sz="4" w:space="0" w:color="548DD4" w:themeColor="text2" w:themeTint="99"/>
              <w:right w:val="dashSmallGap" w:sz="4" w:space="0" w:color="548DD4" w:themeColor="text2" w:themeTint="99"/>
            </w:tcBorders>
            <w:shd w:val="clear" w:color="auto" w:fill="8DB3E2" w:themeFill="text2" w:themeFillTint="66"/>
            <w:vAlign w:val="center"/>
            <w:hideMark/>
          </w:tcPr>
          <w:p w14:paraId="36A2793E" w14:textId="77777777" w:rsidR="002C4DD7" w:rsidRPr="003B44A8" w:rsidRDefault="002C4DD7" w:rsidP="00B15FBD">
            <w:pPr>
              <w:ind w:firstLine="142"/>
              <w:jc w:val="center"/>
              <w:rPr>
                <w:rFonts w:asciiTheme="minorHAnsi" w:hAnsiTheme="minorHAnsi"/>
                <w:b/>
                <w:bCs/>
                <w:color w:val="000000"/>
                <w:sz w:val="22"/>
                <w:szCs w:val="22"/>
              </w:rPr>
            </w:pPr>
          </w:p>
        </w:tc>
        <w:tc>
          <w:tcPr>
            <w:tcW w:w="1385" w:type="dxa"/>
            <w:vMerge/>
            <w:tcBorders>
              <w:top w:val="dashed" w:sz="18" w:space="0" w:color="548DD4" w:themeColor="text2" w:themeTint="99"/>
              <w:left w:val="dashSmallGap" w:sz="4" w:space="0" w:color="548DD4" w:themeColor="text2" w:themeTint="99"/>
              <w:right w:val="dashSmallGap" w:sz="4" w:space="0" w:color="548DD4" w:themeColor="text2" w:themeTint="99"/>
            </w:tcBorders>
            <w:shd w:val="clear" w:color="auto" w:fill="8DB3E2" w:themeFill="text2" w:themeFillTint="66"/>
            <w:vAlign w:val="center"/>
            <w:hideMark/>
          </w:tcPr>
          <w:p w14:paraId="12122282" w14:textId="77777777" w:rsidR="002C4DD7" w:rsidRPr="003B44A8" w:rsidRDefault="002C4DD7" w:rsidP="00B15FBD">
            <w:pPr>
              <w:ind w:firstLine="142"/>
              <w:rPr>
                <w:rFonts w:asciiTheme="minorHAnsi" w:hAnsiTheme="minorHAnsi"/>
                <w:b/>
                <w:bCs/>
                <w:color w:val="000000"/>
                <w:sz w:val="22"/>
                <w:szCs w:val="22"/>
              </w:rPr>
            </w:pPr>
          </w:p>
        </w:tc>
        <w:tc>
          <w:tcPr>
            <w:tcW w:w="1455" w:type="dxa"/>
            <w:vMerge/>
            <w:tcBorders>
              <w:top w:val="dashed" w:sz="18" w:space="0" w:color="548DD4" w:themeColor="text2" w:themeTint="99"/>
              <w:left w:val="dashSmallGap" w:sz="4" w:space="0" w:color="548DD4" w:themeColor="text2" w:themeTint="99"/>
              <w:right w:val="dashSmallGap" w:sz="4" w:space="0" w:color="548DD4" w:themeColor="text2" w:themeTint="99"/>
            </w:tcBorders>
            <w:shd w:val="clear" w:color="auto" w:fill="8DB3E2" w:themeFill="text2" w:themeFillTint="66"/>
            <w:vAlign w:val="center"/>
            <w:hideMark/>
          </w:tcPr>
          <w:p w14:paraId="5CC286AE" w14:textId="77777777" w:rsidR="002C4DD7" w:rsidRPr="003B44A8" w:rsidRDefault="002C4DD7" w:rsidP="00B15FBD">
            <w:pPr>
              <w:ind w:firstLine="142"/>
              <w:rPr>
                <w:rFonts w:asciiTheme="minorHAnsi" w:hAnsiTheme="minorHAnsi"/>
                <w:b/>
                <w:bCs/>
                <w:color w:val="000000"/>
                <w:sz w:val="22"/>
                <w:szCs w:val="22"/>
              </w:rPr>
            </w:pPr>
          </w:p>
        </w:tc>
        <w:tc>
          <w:tcPr>
            <w:tcW w:w="2983" w:type="dxa"/>
            <w:vMerge/>
            <w:tcBorders>
              <w:top w:val="dashed" w:sz="18" w:space="0" w:color="548DD4" w:themeColor="text2" w:themeTint="99"/>
              <w:left w:val="dashSmallGap" w:sz="4" w:space="0" w:color="548DD4" w:themeColor="text2" w:themeTint="99"/>
              <w:right w:val="triple" w:sz="4" w:space="0" w:color="548DD4" w:themeColor="text2" w:themeTint="99"/>
            </w:tcBorders>
            <w:shd w:val="clear" w:color="auto" w:fill="8DB3E2" w:themeFill="text2" w:themeFillTint="66"/>
            <w:vAlign w:val="center"/>
            <w:hideMark/>
          </w:tcPr>
          <w:p w14:paraId="2DB5968E" w14:textId="77777777" w:rsidR="002C4DD7" w:rsidRPr="003B44A8" w:rsidRDefault="002C4DD7" w:rsidP="00B15FBD">
            <w:pPr>
              <w:ind w:firstLine="142"/>
              <w:rPr>
                <w:rFonts w:asciiTheme="minorHAnsi" w:hAnsiTheme="minorHAnsi"/>
                <w:b/>
                <w:bCs/>
                <w:color w:val="000000"/>
                <w:sz w:val="22"/>
                <w:szCs w:val="22"/>
              </w:rPr>
            </w:pPr>
          </w:p>
        </w:tc>
      </w:tr>
      <w:tr w:rsidR="002C4DD7" w:rsidRPr="0058634B" w14:paraId="3DAF9EB0" w14:textId="77777777" w:rsidTr="003B44A8">
        <w:trPr>
          <w:trHeight w:val="340"/>
        </w:trPr>
        <w:tc>
          <w:tcPr>
            <w:tcW w:w="9710" w:type="dxa"/>
            <w:gridSpan w:val="5"/>
            <w:tcBorders>
              <w:left w:val="triple" w:sz="4" w:space="0" w:color="548DD4" w:themeColor="text2" w:themeTint="99"/>
              <w:bottom w:val="single" w:sz="2" w:space="0" w:color="548DD4" w:themeColor="text2" w:themeTint="99"/>
              <w:right w:val="triple" w:sz="4" w:space="0" w:color="548DD4" w:themeColor="text2" w:themeTint="99"/>
            </w:tcBorders>
            <w:shd w:val="clear" w:color="auto" w:fill="auto"/>
            <w:vAlign w:val="center"/>
            <w:hideMark/>
          </w:tcPr>
          <w:p w14:paraId="641611A4" w14:textId="77777777" w:rsidR="002C4DD7" w:rsidRPr="003B44A8" w:rsidRDefault="002C4DD7" w:rsidP="00B15FBD">
            <w:pPr>
              <w:ind w:firstLine="142"/>
              <w:jc w:val="center"/>
              <w:rPr>
                <w:rFonts w:asciiTheme="minorHAnsi" w:hAnsiTheme="minorHAnsi"/>
                <w:b/>
                <w:bCs/>
                <w:color w:val="000000"/>
                <w:sz w:val="22"/>
                <w:szCs w:val="22"/>
              </w:rPr>
            </w:pPr>
            <w:r w:rsidRPr="003B44A8">
              <w:rPr>
                <w:rFonts w:asciiTheme="minorHAnsi" w:hAnsiTheme="minorHAnsi" w:cstheme="minorHAnsi"/>
                <w:b/>
                <w:bCs/>
                <w:color w:val="000000"/>
                <w:sz w:val="22"/>
                <w:szCs w:val="22"/>
              </w:rPr>
              <w:t>Major Regional Centre – Hull</w:t>
            </w:r>
          </w:p>
        </w:tc>
      </w:tr>
      <w:tr w:rsidR="002C4DD7" w:rsidRPr="0058634B" w14:paraId="44A5D580" w14:textId="77777777" w:rsidTr="003B44A8">
        <w:trPr>
          <w:trHeight w:val="320"/>
        </w:trPr>
        <w:tc>
          <w:tcPr>
            <w:tcW w:w="2561" w:type="dxa"/>
            <w:tcBorders>
              <w:top w:val="single" w:sz="2" w:space="0" w:color="548DD4" w:themeColor="text2" w:themeTint="99"/>
              <w:left w:val="triple"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1567A52D" w14:textId="2BFB3716" w:rsidR="002C4DD7" w:rsidRPr="003B44A8" w:rsidRDefault="003B44A8" w:rsidP="003B44A8">
            <w:pPr>
              <w:ind w:firstLineChars="4" w:firstLine="9"/>
              <w:rPr>
                <w:rFonts w:asciiTheme="minorHAnsi" w:hAnsiTheme="minorHAnsi"/>
                <w:b/>
                <w:bCs/>
                <w:i/>
                <w:iCs/>
                <w:color w:val="000000"/>
                <w:sz w:val="22"/>
                <w:szCs w:val="22"/>
              </w:rPr>
            </w:pPr>
            <w:r w:rsidRPr="003B44A8">
              <w:rPr>
                <w:rFonts w:asciiTheme="minorHAnsi" w:hAnsiTheme="minorHAnsi"/>
                <w:b/>
                <w:bCs/>
                <w:i/>
                <w:iCs/>
                <w:color w:val="000000"/>
                <w:sz w:val="22"/>
                <w:szCs w:val="22"/>
              </w:rPr>
              <w:t>“High Street” unit</w:t>
            </w:r>
          </w:p>
        </w:tc>
        <w:tc>
          <w:tcPr>
            <w:tcW w:w="1326" w:type="dxa"/>
            <w:tcBorders>
              <w:top w:val="single" w:sz="2"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44385DA7" w14:textId="1C080837" w:rsidR="002C4DD7" w:rsidRPr="00864B9E" w:rsidRDefault="00864B9E" w:rsidP="00864B9E">
            <w:pPr>
              <w:jc w:val="center"/>
              <w:rPr>
                <w:rFonts w:ascii="Calibri" w:hAnsi="Calibri" w:cs="Calibri"/>
                <w:b/>
                <w:bCs/>
                <w:color w:val="000000"/>
                <w:sz w:val="22"/>
                <w:szCs w:val="22"/>
              </w:rPr>
            </w:pPr>
            <w:r w:rsidRPr="00864B9E">
              <w:rPr>
                <w:rFonts w:ascii="Calibri" w:hAnsi="Calibri" w:cs="Calibri"/>
                <w:b/>
                <w:bCs/>
                <w:color w:val="000000"/>
                <w:sz w:val="22"/>
                <w:szCs w:val="22"/>
              </w:rPr>
              <w:t>49,375</w:t>
            </w:r>
          </w:p>
        </w:tc>
        <w:tc>
          <w:tcPr>
            <w:tcW w:w="1385" w:type="dxa"/>
            <w:tcBorders>
              <w:top w:val="single" w:sz="2"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noWrap/>
            <w:vAlign w:val="bottom"/>
            <w:hideMark/>
          </w:tcPr>
          <w:p w14:paraId="416DB33F" w14:textId="77777777" w:rsidR="002C4DD7" w:rsidRPr="003B44A8" w:rsidRDefault="002C4DD7" w:rsidP="00B15FBD">
            <w:pPr>
              <w:ind w:firstLine="142"/>
              <w:jc w:val="center"/>
              <w:rPr>
                <w:rFonts w:asciiTheme="minorHAnsi" w:hAnsiTheme="minorHAnsi"/>
                <w:b/>
                <w:bCs/>
                <w:color w:val="000000"/>
                <w:sz w:val="22"/>
                <w:szCs w:val="22"/>
              </w:rPr>
            </w:pPr>
          </w:p>
        </w:tc>
        <w:tc>
          <w:tcPr>
            <w:tcW w:w="1455" w:type="dxa"/>
            <w:tcBorders>
              <w:top w:val="single" w:sz="2"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28826116" w14:textId="77777777" w:rsidR="002C4DD7" w:rsidRPr="003B44A8" w:rsidRDefault="002C4DD7" w:rsidP="00B15FBD">
            <w:pPr>
              <w:ind w:firstLine="142"/>
              <w:jc w:val="center"/>
              <w:rPr>
                <w:rFonts w:asciiTheme="minorHAnsi" w:hAnsiTheme="minorHAnsi"/>
                <w:b/>
                <w:bCs/>
                <w:i/>
                <w:iCs/>
                <w:color w:val="000000"/>
                <w:sz w:val="22"/>
                <w:szCs w:val="22"/>
              </w:rPr>
            </w:pPr>
          </w:p>
        </w:tc>
        <w:tc>
          <w:tcPr>
            <w:tcW w:w="2983" w:type="dxa"/>
            <w:tcBorders>
              <w:top w:val="single" w:sz="2" w:space="0" w:color="548DD4" w:themeColor="text2" w:themeTint="99"/>
              <w:left w:val="dashSmallGap" w:sz="4" w:space="0" w:color="548DD4" w:themeColor="text2" w:themeTint="99"/>
              <w:bottom w:val="dashSmallGap" w:sz="4" w:space="0" w:color="548DD4" w:themeColor="text2" w:themeTint="99"/>
              <w:right w:val="triple" w:sz="4" w:space="0" w:color="548DD4" w:themeColor="text2" w:themeTint="99"/>
            </w:tcBorders>
            <w:shd w:val="clear" w:color="auto" w:fill="auto"/>
            <w:noWrap/>
            <w:vAlign w:val="bottom"/>
            <w:hideMark/>
          </w:tcPr>
          <w:p w14:paraId="2CD363BB" w14:textId="77777777" w:rsidR="002C4DD7" w:rsidRPr="003B44A8" w:rsidRDefault="002C4DD7" w:rsidP="00B15FBD">
            <w:pPr>
              <w:rPr>
                <w:rFonts w:asciiTheme="minorHAnsi" w:hAnsiTheme="minorHAnsi"/>
                <w:color w:val="000000"/>
                <w:sz w:val="22"/>
                <w:szCs w:val="22"/>
              </w:rPr>
            </w:pPr>
          </w:p>
        </w:tc>
      </w:tr>
      <w:tr w:rsidR="002C4DD7" w:rsidRPr="0058634B" w14:paraId="3D4988D9" w14:textId="77777777" w:rsidTr="003B44A8">
        <w:trPr>
          <w:trHeight w:val="320"/>
        </w:trPr>
        <w:tc>
          <w:tcPr>
            <w:tcW w:w="2561" w:type="dxa"/>
            <w:tcBorders>
              <w:top w:val="dashSmallGap" w:sz="4" w:space="0" w:color="548DD4" w:themeColor="text2" w:themeTint="99"/>
              <w:left w:val="triple"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28FC5DCD" w14:textId="77777777" w:rsidR="002C4DD7" w:rsidRPr="003B44A8" w:rsidRDefault="002C4DD7" w:rsidP="003B44A8">
            <w:pPr>
              <w:ind w:firstLineChars="4" w:firstLine="9"/>
              <w:rPr>
                <w:rFonts w:asciiTheme="minorHAnsi" w:hAnsiTheme="minorHAnsi"/>
                <w:color w:val="000000"/>
                <w:sz w:val="22"/>
                <w:szCs w:val="22"/>
              </w:rPr>
            </w:pPr>
            <w:r w:rsidRPr="003B44A8">
              <w:rPr>
                <w:rFonts w:asciiTheme="minorHAnsi" w:hAnsiTheme="minorHAnsi" w:cstheme="minorHAnsi"/>
                <w:color w:val="000000"/>
                <w:sz w:val="22"/>
                <w:szCs w:val="22"/>
              </w:rPr>
              <w:t>Hepworth Arcade</w:t>
            </w:r>
          </w:p>
        </w:tc>
        <w:tc>
          <w:tcPr>
            <w:tcW w:w="1326"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noWrap/>
            <w:vAlign w:val="bottom"/>
            <w:hideMark/>
          </w:tcPr>
          <w:p w14:paraId="74A75431" w14:textId="77777777" w:rsidR="002C4DD7" w:rsidRPr="003B44A8" w:rsidRDefault="002C4DD7" w:rsidP="00B15FBD">
            <w:pPr>
              <w:ind w:firstLine="142"/>
              <w:jc w:val="center"/>
              <w:rPr>
                <w:rFonts w:asciiTheme="minorHAnsi" w:hAnsiTheme="minorHAnsi"/>
                <w:color w:val="000000"/>
                <w:sz w:val="22"/>
                <w:szCs w:val="22"/>
              </w:rPr>
            </w:pPr>
          </w:p>
        </w:tc>
        <w:tc>
          <w:tcPr>
            <w:tcW w:w="138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5255CA05" w14:textId="77777777" w:rsidR="002C4DD7" w:rsidRPr="003B44A8" w:rsidRDefault="002C4DD7" w:rsidP="00B15FBD">
            <w:pPr>
              <w:ind w:firstLine="142"/>
              <w:jc w:val="center"/>
              <w:rPr>
                <w:rFonts w:asciiTheme="minorHAnsi" w:hAnsiTheme="minorHAnsi"/>
                <w:color w:val="000000"/>
                <w:sz w:val="22"/>
                <w:szCs w:val="22"/>
              </w:rPr>
            </w:pPr>
            <w:r w:rsidRPr="003B44A8">
              <w:rPr>
                <w:rFonts w:asciiTheme="minorHAnsi" w:hAnsiTheme="minorHAnsi" w:cstheme="minorHAnsi"/>
                <w:color w:val="000000"/>
                <w:sz w:val="22"/>
                <w:szCs w:val="22"/>
              </w:rPr>
              <w:t>916</w:t>
            </w:r>
          </w:p>
        </w:tc>
        <w:tc>
          <w:tcPr>
            <w:tcW w:w="145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40340326" w14:textId="77777777" w:rsidR="002C4DD7" w:rsidRPr="003B44A8" w:rsidRDefault="002C4DD7" w:rsidP="00B15FBD">
            <w:pPr>
              <w:ind w:firstLine="142"/>
              <w:jc w:val="center"/>
              <w:rPr>
                <w:rFonts w:asciiTheme="minorHAnsi" w:hAnsiTheme="minorHAnsi"/>
                <w:color w:val="000000"/>
                <w:sz w:val="22"/>
                <w:szCs w:val="22"/>
              </w:rPr>
            </w:pPr>
            <w:r w:rsidRPr="003B44A8">
              <w:rPr>
                <w:rFonts w:asciiTheme="minorHAnsi" w:hAnsiTheme="minorHAnsi" w:cstheme="minorHAnsi"/>
                <w:color w:val="000000"/>
                <w:sz w:val="22"/>
                <w:szCs w:val="22"/>
              </w:rPr>
              <w:t>1890</w:t>
            </w:r>
          </w:p>
        </w:tc>
        <w:tc>
          <w:tcPr>
            <w:tcW w:w="2983" w:type="dxa"/>
            <w:tcBorders>
              <w:top w:val="dashSmallGap" w:sz="4" w:space="0" w:color="548DD4" w:themeColor="text2" w:themeTint="99"/>
              <w:left w:val="dashSmallGap" w:sz="4" w:space="0" w:color="548DD4" w:themeColor="text2" w:themeTint="99"/>
              <w:bottom w:val="dashSmallGap" w:sz="4" w:space="0" w:color="548DD4" w:themeColor="text2" w:themeTint="99"/>
              <w:right w:val="triple" w:sz="4" w:space="0" w:color="548DD4" w:themeColor="text2" w:themeTint="99"/>
            </w:tcBorders>
            <w:shd w:val="clear" w:color="auto" w:fill="auto"/>
            <w:vAlign w:val="center"/>
            <w:hideMark/>
          </w:tcPr>
          <w:p w14:paraId="2669A0C6" w14:textId="77777777" w:rsidR="002C4DD7" w:rsidRPr="003B44A8" w:rsidRDefault="002C4DD7" w:rsidP="00B15FBD">
            <w:pPr>
              <w:rPr>
                <w:rFonts w:asciiTheme="minorHAnsi" w:hAnsiTheme="minorHAnsi"/>
                <w:color w:val="000000"/>
                <w:sz w:val="22"/>
                <w:szCs w:val="22"/>
              </w:rPr>
            </w:pPr>
          </w:p>
        </w:tc>
      </w:tr>
      <w:tr w:rsidR="002C4DD7" w:rsidRPr="0058634B" w14:paraId="04C66CBD" w14:textId="77777777" w:rsidTr="003B44A8">
        <w:trPr>
          <w:trHeight w:val="320"/>
        </w:trPr>
        <w:tc>
          <w:tcPr>
            <w:tcW w:w="2561" w:type="dxa"/>
            <w:tcBorders>
              <w:top w:val="dashSmallGap" w:sz="4" w:space="0" w:color="548DD4" w:themeColor="text2" w:themeTint="99"/>
              <w:left w:val="triple"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4913BA28" w14:textId="77777777" w:rsidR="002C4DD7" w:rsidRPr="003B44A8" w:rsidRDefault="002C4DD7" w:rsidP="003B44A8">
            <w:pPr>
              <w:ind w:firstLineChars="4" w:firstLine="9"/>
              <w:rPr>
                <w:rFonts w:asciiTheme="minorHAnsi" w:hAnsiTheme="minorHAnsi"/>
                <w:color w:val="000000"/>
                <w:sz w:val="22"/>
                <w:szCs w:val="22"/>
              </w:rPr>
            </w:pPr>
            <w:r w:rsidRPr="003B44A8">
              <w:rPr>
                <w:rFonts w:asciiTheme="minorHAnsi" w:hAnsiTheme="minorHAnsi" w:cstheme="minorHAnsi"/>
                <w:color w:val="000000"/>
                <w:sz w:val="22"/>
                <w:szCs w:val="22"/>
              </w:rPr>
              <w:t>Paragon Arcade</w:t>
            </w:r>
          </w:p>
        </w:tc>
        <w:tc>
          <w:tcPr>
            <w:tcW w:w="1326"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noWrap/>
            <w:vAlign w:val="bottom"/>
            <w:hideMark/>
          </w:tcPr>
          <w:p w14:paraId="14D97BC2" w14:textId="77777777" w:rsidR="002C4DD7" w:rsidRPr="003B44A8" w:rsidRDefault="002C4DD7" w:rsidP="00B15FBD">
            <w:pPr>
              <w:ind w:firstLine="142"/>
              <w:jc w:val="center"/>
              <w:rPr>
                <w:rFonts w:asciiTheme="minorHAnsi" w:hAnsiTheme="minorHAnsi"/>
                <w:color w:val="000000"/>
                <w:sz w:val="22"/>
                <w:szCs w:val="22"/>
              </w:rPr>
            </w:pPr>
          </w:p>
        </w:tc>
        <w:tc>
          <w:tcPr>
            <w:tcW w:w="138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766D722D" w14:textId="77777777" w:rsidR="002C4DD7" w:rsidRPr="003B44A8" w:rsidRDefault="002C4DD7" w:rsidP="00B15FBD">
            <w:pPr>
              <w:ind w:firstLine="142"/>
              <w:jc w:val="center"/>
              <w:rPr>
                <w:rFonts w:asciiTheme="minorHAnsi" w:hAnsiTheme="minorHAnsi"/>
                <w:color w:val="000000"/>
                <w:sz w:val="22"/>
                <w:szCs w:val="22"/>
              </w:rPr>
            </w:pPr>
            <w:r w:rsidRPr="003B44A8">
              <w:rPr>
                <w:rFonts w:asciiTheme="minorHAnsi" w:hAnsiTheme="minorHAnsi" w:cstheme="minorHAnsi"/>
                <w:color w:val="000000"/>
                <w:sz w:val="22"/>
                <w:szCs w:val="22"/>
              </w:rPr>
              <w:t>655</w:t>
            </w:r>
          </w:p>
        </w:tc>
        <w:tc>
          <w:tcPr>
            <w:tcW w:w="145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5FC22B19" w14:textId="77777777" w:rsidR="002C4DD7" w:rsidRPr="003B44A8" w:rsidRDefault="002C4DD7" w:rsidP="00B15FBD">
            <w:pPr>
              <w:ind w:firstLine="142"/>
              <w:jc w:val="center"/>
              <w:rPr>
                <w:rFonts w:asciiTheme="minorHAnsi" w:hAnsiTheme="minorHAnsi"/>
                <w:color w:val="000000"/>
                <w:sz w:val="22"/>
                <w:szCs w:val="22"/>
              </w:rPr>
            </w:pPr>
            <w:r w:rsidRPr="003B44A8">
              <w:rPr>
                <w:rFonts w:asciiTheme="minorHAnsi" w:hAnsiTheme="minorHAnsi" w:cstheme="minorHAnsi"/>
                <w:color w:val="000000"/>
                <w:sz w:val="22"/>
                <w:szCs w:val="22"/>
              </w:rPr>
              <w:t>1891</w:t>
            </w:r>
          </w:p>
        </w:tc>
        <w:tc>
          <w:tcPr>
            <w:tcW w:w="2983" w:type="dxa"/>
            <w:tcBorders>
              <w:top w:val="dashSmallGap" w:sz="4" w:space="0" w:color="548DD4" w:themeColor="text2" w:themeTint="99"/>
              <w:left w:val="dashSmallGap" w:sz="4" w:space="0" w:color="548DD4" w:themeColor="text2" w:themeTint="99"/>
              <w:bottom w:val="dashSmallGap" w:sz="4" w:space="0" w:color="548DD4" w:themeColor="text2" w:themeTint="99"/>
              <w:right w:val="triple" w:sz="4" w:space="0" w:color="548DD4" w:themeColor="text2" w:themeTint="99"/>
            </w:tcBorders>
            <w:shd w:val="clear" w:color="auto" w:fill="auto"/>
            <w:vAlign w:val="center"/>
            <w:hideMark/>
          </w:tcPr>
          <w:p w14:paraId="36FC3693" w14:textId="77777777" w:rsidR="002C4DD7" w:rsidRPr="003B44A8" w:rsidRDefault="002C4DD7" w:rsidP="00B15FBD">
            <w:pPr>
              <w:rPr>
                <w:rFonts w:asciiTheme="minorHAnsi" w:hAnsiTheme="minorHAnsi"/>
                <w:color w:val="000000"/>
                <w:sz w:val="22"/>
                <w:szCs w:val="22"/>
              </w:rPr>
            </w:pPr>
            <w:r w:rsidRPr="003B44A8">
              <w:rPr>
                <w:rFonts w:asciiTheme="minorHAnsi" w:hAnsiTheme="minorHAnsi"/>
                <w:color w:val="000000"/>
                <w:sz w:val="22"/>
                <w:szCs w:val="22"/>
              </w:rPr>
              <w:t>Refurbished 2017/8</w:t>
            </w:r>
          </w:p>
        </w:tc>
      </w:tr>
      <w:tr w:rsidR="002C4DD7" w:rsidRPr="0058634B" w14:paraId="205CE7A3" w14:textId="77777777" w:rsidTr="003B44A8">
        <w:trPr>
          <w:trHeight w:val="640"/>
        </w:trPr>
        <w:tc>
          <w:tcPr>
            <w:tcW w:w="2561" w:type="dxa"/>
            <w:tcBorders>
              <w:top w:val="dashSmallGap" w:sz="4" w:space="0" w:color="548DD4" w:themeColor="text2" w:themeTint="99"/>
              <w:left w:val="triple"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4B463F23" w14:textId="7E57317B" w:rsidR="002C4DD7" w:rsidRPr="003B44A8" w:rsidRDefault="00182F05" w:rsidP="003B44A8">
            <w:pPr>
              <w:ind w:firstLineChars="4" w:firstLine="9"/>
              <w:rPr>
                <w:rFonts w:asciiTheme="minorHAnsi" w:hAnsiTheme="minorHAnsi"/>
                <w:color w:val="000000"/>
                <w:sz w:val="22"/>
                <w:szCs w:val="22"/>
              </w:rPr>
            </w:pPr>
            <w:r>
              <w:rPr>
                <w:rFonts w:asciiTheme="minorHAnsi" w:hAnsiTheme="minorHAnsi" w:cstheme="minorHAnsi"/>
                <w:color w:val="000000"/>
                <w:sz w:val="22"/>
                <w:szCs w:val="22"/>
              </w:rPr>
              <w:t xml:space="preserve">The </w:t>
            </w:r>
            <w:r w:rsidR="002C4DD7" w:rsidRPr="003B44A8">
              <w:rPr>
                <w:rFonts w:asciiTheme="minorHAnsi" w:hAnsiTheme="minorHAnsi" w:cstheme="minorHAnsi"/>
                <w:color w:val="000000"/>
                <w:sz w:val="22"/>
                <w:szCs w:val="22"/>
              </w:rPr>
              <w:t>Prospect Centre</w:t>
            </w:r>
          </w:p>
        </w:tc>
        <w:tc>
          <w:tcPr>
            <w:tcW w:w="1326"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noWrap/>
            <w:vAlign w:val="bottom"/>
            <w:hideMark/>
          </w:tcPr>
          <w:p w14:paraId="60F10F8F" w14:textId="77777777" w:rsidR="002C4DD7" w:rsidRPr="003B44A8" w:rsidRDefault="002C4DD7" w:rsidP="00B15FBD">
            <w:pPr>
              <w:ind w:firstLine="142"/>
              <w:jc w:val="center"/>
              <w:rPr>
                <w:rFonts w:asciiTheme="minorHAnsi" w:hAnsiTheme="minorHAnsi"/>
                <w:color w:val="000000"/>
                <w:sz w:val="22"/>
                <w:szCs w:val="22"/>
              </w:rPr>
            </w:pPr>
          </w:p>
        </w:tc>
        <w:tc>
          <w:tcPr>
            <w:tcW w:w="138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1AEEC5BB" w14:textId="77777777" w:rsidR="002C4DD7" w:rsidRPr="003B44A8" w:rsidRDefault="002C4DD7" w:rsidP="00B15FBD">
            <w:pPr>
              <w:ind w:firstLine="142"/>
              <w:jc w:val="center"/>
              <w:rPr>
                <w:rFonts w:asciiTheme="minorHAnsi" w:hAnsiTheme="minorHAnsi"/>
                <w:color w:val="000000"/>
                <w:sz w:val="22"/>
                <w:szCs w:val="22"/>
              </w:rPr>
            </w:pPr>
            <w:r w:rsidRPr="003B44A8">
              <w:rPr>
                <w:rFonts w:asciiTheme="minorHAnsi" w:hAnsiTheme="minorHAnsi" w:cstheme="minorHAnsi"/>
                <w:color w:val="000000"/>
                <w:sz w:val="22"/>
                <w:szCs w:val="22"/>
              </w:rPr>
              <w:t>30,073</w:t>
            </w:r>
          </w:p>
        </w:tc>
        <w:tc>
          <w:tcPr>
            <w:tcW w:w="145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5524562C" w14:textId="77777777" w:rsidR="002C4DD7" w:rsidRPr="003B44A8" w:rsidRDefault="002C4DD7" w:rsidP="00B15FBD">
            <w:pPr>
              <w:ind w:firstLine="142"/>
              <w:jc w:val="center"/>
              <w:rPr>
                <w:rFonts w:asciiTheme="minorHAnsi" w:hAnsiTheme="minorHAnsi"/>
                <w:color w:val="000000"/>
                <w:sz w:val="22"/>
                <w:szCs w:val="22"/>
              </w:rPr>
            </w:pPr>
            <w:r w:rsidRPr="003B44A8">
              <w:rPr>
                <w:rFonts w:asciiTheme="minorHAnsi" w:hAnsiTheme="minorHAnsi" w:cstheme="minorHAnsi"/>
                <w:color w:val="000000"/>
                <w:sz w:val="22"/>
                <w:szCs w:val="22"/>
              </w:rPr>
              <w:t>1975</w:t>
            </w:r>
          </w:p>
        </w:tc>
        <w:tc>
          <w:tcPr>
            <w:tcW w:w="2983" w:type="dxa"/>
            <w:tcBorders>
              <w:top w:val="dashSmallGap" w:sz="4" w:space="0" w:color="548DD4" w:themeColor="text2" w:themeTint="99"/>
              <w:left w:val="dashSmallGap" w:sz="4" w:space="0" w:color="548DD4" w:themeColor="text2" w:themeTint="99"/>
              <w:bottom w:val="dashSmallGap" w:sz="4" w:space="0" w:color="548DD4" w:themeColor="text2" w:themeTint="99"/>
              <w:right w:val="triple" w:sz="4" w:space="0" w:color="548DD4" w:themeColor="text2" w:themeTint="99"/>
            </w:tcBorders>
            <w:shd w:val="clear" w:color="auto" w:fill="auto"/>
            <w:vAlign w:val="center"/>
            <w:hideMark/>
          </w:tcPr>
          <w:p w14:paraId="6E0ABB82" w14:textId="5A3D7C25" w:rsidR="002C4DD7" w:rsidRPr="003B44A8" w:rsidRDefault="002C4DD7" w:rsidP="00B15FBD">
            <w:pPr>
              <w:rPr>
                <w:rFonts w:asciiTheme="minorHAnsi" w:hAnsiTheme="minorHAnsi"/>
                <w:color w:val="000000"/>
                <w:sz w:val="22"/>
                <w:szCs w:val="22"/>
              </w:rPr>
            </w:pPr>
            <w:r w:rsidRPr="003B44A8">
              <w:rPr>
                <w:rFonts w:asciiTheme="minorHAnsi" w:hAnsiTheme="minorHAnsi"/>
                <w:color w:val="000000"/>
                <w:sz w:val="22"/>
                <w:szCs w:val="22"/>
              </w:rPr>
              <w:t>Extended 2003</w:t>
            </w:r>
            <w:r w:rsidR="00F56624">
              <w:rPr>
                <w:rFonts w:asciiTheme="minorHAnsi" w:hAnsiTheme="minorHAnsi"/>
                <w:color w:val="000000"/>
                <w:sz w:val="22"/>
                <w:szCs w:val="22"/>
              </w:rPr>
              <w:t xml:space="preserve">  </w:t>
            </w:r>
            <w:r w:rsidRPr="003B44A8">
              <w:rPr>
                <w:rFonts w:asciiTheme="minorHAnsi" w:hAnsiTheme="minorHAnsi"/>
                <w:color w:val="000000"/>
                <w:sz w:val="22"/>
                <w:szCs w:val="22"/>
              </w:rPr>
              <w:t xml:space="preserve">                                                   </w:t>
            </w:r>
          </w:p>
          <w:p w14:paraId="2CC86F27" w14:textId="77777777" w:rsidR="002C4DD7" w:rsidRPr="003B44A8" w:rsidRDefault="002C4DD7" w:rsidP="00B15FBD">
            <w:pPr>
              <w:rPr>
                <w:rFonts w:asciiTheme="minorHAnsi" w:hAnsiTheme="minorHAnsi"/>
                <w:color w:val="000000"/>
                <w:sz w:val="22"/>
                <w:szCs w:val="22"/>
              </w:rPr>
            </w:pPr>
            <w:r w:rsidRPr="003B44A8">
              <w:rPr>
                <w:rFonts w:asciiTheme="minorHAnsi" w:hAnsiTheme="minorHAnsi"/>
                <w:color w:val="000000"/>
                <w:sz w:val="22"/>
                <w:szCs w:val="22"/>
              </w:rPr>
              <w:t>Refurbished &amp; extended 1989</w:t>
            </w:r>
          </w:p>
        </w:tc>
      </w:tr>
      <w:tr w:rsidR="002C4DD7" w:rsidRPr="0058634B" w14:paraId="3887DC4B" w14:textId="77777777" w:rsidTr="003B44A8">
        <w:trPr>
          <w:trHeight w:val="1061"/>
        </w:trPr>
        <w:tc>
          <w:tcPr>
            <w:tcW w:w="2561" w:type="dxa"/>
            <w:tcBorders>
              <w:top w:val="dashSmallGap" w:sz="4" w:space="0" w:color="548DD4" w:themeColor="text2" w:themeTint="99"/>
              <w:left w:val="triple"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272F2219" w14:textId="77777777" w:rsidR="002C4DD7" w:rsidRPr="003B44A8" w:rsidRDefault="002C4DD7" w:rsidP="003B44A8">
            <w:pPr>
              <w:ind w:firstLineChars="4" w:firstLine="9"/>
              <w:rPr>
                <w:rFonts w:asciiTheme="minorHAnsi" w:hAnsiTheme="minorHAnsi"/>
                <w:color w:val="000000"/>
                <w:sz w:val="22"/>
                <w:szCs w:val="22"/>
              </w:rPr>
            </w:pPr>
            <w:r w:rsidRPr="003B44A8">
              <w:rPr>
                <w:rFonts w:asciiTheme="minorHAnsi" w:hAnsiTheme="minorHAnsi" w:cstheme="minorHAnsi"/>
                <w:color w:val="000000"/>
                <w:sz w:val="22"/>
                <w:szCs w:val="22"/>
              </w:rPr>
              <w:t>Princes Quay</w:t>
            </w:r>
          </w:p>
        </w:tc>
        <w:tc>
          <w:tcPr>
            <w:tcW w:w="1326"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noWrap/>
            <w:vAlign w:val="bottom"/>
            <w:hideMark/>
          </w:tcPr>
          <w:p w14:paraId="563BD04E" w14:textId="77777777" w:rsidR="002C4DD7" w:rsidRPr="003B44A8" w:rsidRDefault="002C4DD7" w:rsidP="00B15FBD">
            <w:pPr>
              <w:ind w:firstLine="142"/>
              <w:jc w:val="center"/>
              <w:rPr>
                <w:rFonts w:asciiTheme="minorHAnsi" w:hAnsiTheme="minorHAnsi"/>
                <w:color w:val="000000"/>
                <w:sz w:val="22"/>
                <w:szCs w:val="22"/>
              </w:rPr>
            </w:pPr>
          </w:p>
        </w:tc>
        <w:tc>
          <w:tcPr>
            <w:tcW w:w="138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4FB31527" w14:textId="77777777" w:rsidR="002C4DD7" w:rsidRPr="003B44A8" w:rsidRDefault="002C4DD7" w:rsidP="00B15FBD">
            <w:pPr>
              <w:ind w:firstLine="142"/>
              <w:jc w:val="center"/>
              <w:rPr>
                <w:rFonts w:asciiTheme="minorHAnsi" w:hAnsiTheme="minorHAnsi"/>
                <w:color w:val="000000"/>
                <w:sz w:val="22"/>
                <w:szCs w:val="22"/>
              </w:rPr>
            </w:pPr>
            <w:r w:rsidRPr="003B44A8">
              <w:rPr>
                <w:rFonts w:asciiTheme="minorHAnsi" w:hAnsiTheme="minorHAnsi" w:cstheme="minorHAnsi"/>
                <w:color w:val="000000"/>
                <w:sz w:val="22"/>
                <w:szCs w:val="22"/>
              </w:rPr>
              <w:t>41,881</w:t>
            </w:r>
          </w:p>
        </w:tc>
        <w:tc>
          <w:tcPr>
            <w:tcW w:w="145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243F6AB0" w14:textId="77777777" w:rsidR="002C4DD7" w:rsidRPr="003B44A8" w:rsidRDefault="002C4DD7" w:rsidP="00B15FBD">
            <w:pPr>
              <w:ind w:firstLine="142"/>
              <w:jc w:val="center"/>
              <w:rPr>
                <w:rFonts w:asciiTheme="minorHAnsi" w:hAnsiTheme="minorHAnsi"/>
                <w:color w:val="000000"/>
                <w:sz w:val="22"/>
                <w:szCs w:val="22"/>
              </w:rPr>
            </w:pPr>
            <w:r w:rsidRPr="003B44A8">
              <w:rPr>
                <w:rFonts w:asciiTheme="minorHAnsi" w:hAnsiTheme="minorHAnsi" w:cstheme="minorHAnsi"/>
                <w:color w:val="000000"/>
                <w:sz w:val="22"/>
                <w:szCs w:val="22"/>
              </w:rPr>
              <w:t>1991</w:t>
            </w:r>
          </w:p>
        </w:tc>
        <w:tc>
          <w:tcPr>
            <w:tcW w:w="2983" w:type="dxa"/>
            <w:tcBorders>
              <w:top w:val="dashSmallGap" w:sz="4" w:space="0" w:color="548DD4" w:themeColor="text2" w:themeTint="99"/>
              <w:left w:val="dashSmallGap" w:sz="4" w:space="0" w:color="548DD4" w:themeColor="text2" w:themeTint="99"/>
              <w:bottom w:val="dashSmallGap" w:sz="4" w:space="0" w:color="548DD4" w:themeColor="text2" w:themeTint="99"/>
              <w:right w:val="triple" w:sz="4" w:space="0" w:color="548DD4" w:themeColor="text2" w:themeTint="99"/>
            </w:tcBorders>
            <w:shd w:val="clear" w:color="auto" w:fill="auto"/>
            <w:vAlign w:val="center"/>
            <w:hideMark/>
          </w:tcPr>
          <w:p w14:paraId="2FEC9C88" w14:textId="71A76585" w:rsidR="002C4DD7" w:rsidRPr="003B44A8" w:rsidRDefault="002C4DD7" w:rsidP="00B15FBD">
            <w:pPr>
              <w:rPr>
                <w:rFonts w:asciiTheme="minorHAnsi" w:hAnsiTheme="minorHAnsi"/>
                <w:color w:val="000000"/>
                <w:sz w:val="22"/>
                <w:szCs w:val="22"/>
              </w:rPr>
            </w:pPr>
            <w:r w:rsidRPr="003B44A8">
              <w:rPr>
                <w:rFonts w:asciiTheme="minorHAnsi" w:hAnsiTheme="minorHAnsi"/>
                <w:color w:val="000000"/>
                <w:sz w:val="22"/>
                <w:szCs w:val="22"/>
              </w:rPr>
              <w:t>Extended</w:t>
            </w:r>
            <w:r w:rsidR="00F56624">
              <w:rPr>
                <w:rFonts w:asciiTheme="minorHAnsi" w:hAnsiTheme="minorHAnsi"/>
                <w:color w:val="000000"/>
                <w:sz w:val="22"/>
                <w:szCs w:val="22"/>
              </w:rPr>
              <w:t xml:space="preserve"> </w:t>
            </w:r>
            <w:r w:rsidRPr="003B44A8">
              <w:rPr>
                <w:rFonts w:asciiTheme="minorHAnsi" w:hAnsiTheme="minorHAnsi"/>
                <w:color w:val="000000"/>
                <w:sz w:val="22"/>
                <w:szCs w:val="22"/>
              </w:rPr>
              <w:t xml:space="preserve">2017                                                                </w:t>
            </w:r>
          </w:p>
          <w:p w14:paraId="233DE8E5" w14:textId="77777777" w:rsidR="002C4DD7" w:rsidRPr="003B44A8" w:rsidRDefault="002C4DD7" w:rsidP="00B15FBD">
            <w:pPr>
              <w:rPr>
                <w:rFonts w:asciiTheme="minorHAnsi" w:hAnsiTheme="minorHAnsi"/>
                <w:color w:val="000000"/>
                <w:sz w:val="22"/>
                <w:szCs w:val="22"/>
              </w:rPr>
            </w:pPr>
            <w:r w:rsidRPr="003B44A8">
              <w:rPr>
                <w:rFonts w:asciiTheme="minorHAnsi" w:hAnsiTheme="minorHAnsi"/>
                <w:color w:val="000000"/>
                <w:sz w:val="22"/>
                <w:szCs w:val="22"/>
              </w:rPr>
              <w:t xml:space="preserve">Refurbished 2015                                                  </w:t>
            </w:r>
          </w:p>
          <w:p w14:paraId="191C6AB7" w14:textId="77777777" w:rsidR="002C4DD7" w:rsidRPr="003B44A8" w:rsidRDefault="002C4DD7" w:rsidP="00B15FBD">
            <w:pPr>
              <w:rPr>
                <w:rFonts w:asciiTheme="minorHAnsi" w:hAnsiTheme="minorHAnsi"/>
                <w:color w:val="000000"/>
                <w:sz w:val="22"/>
                <w:szCs w:val="22"/>
              </w:rPr>
            </w:pPr>
            <w:r w:rsidRPr="003B44A8">
              <w:rPr>
                <w:rFonts w:asciiTheme="minorHAnsi" w:hAnsiTheme="minorHAnsi"/>
                <w:color w:val="000000"/>
                <w:sz w:val="22"/>
                <w:szCs w:val="22"/>
              </w:rPr>
              <w:t xml:space="preserve">Refurbished 2007                                                         </w:t>
            </w:r>
          </w:p>
          <w:p w14:paraId="7236B9EE" w14:textId="77777777" w:rsidR="002C4DD7" w:rsidRPr="003B44A8" w:rsidRDefault="002C4DD7" w:rsidP="00B15FBD">
            <w:pPr>
              <w:rPr>
                <w:rFonts w:asciiTheme="minorHAnsi" w:hAnsiTheme="minorHAnsi"/>
                <w:color w:val="000000"/>
                <w:sz w:val="22"/>
                <w:szCs w:val="22"/>
              </w:rPr>
            </w:pPr>
            <w:r w:rsidRPr="003B44A8">
              <w:rPr>
                <w:rFonts w:asciiTheme="minorHAnsi" w:hAnsiTheme="minorHAnsi"/>
                <w:color w:val="000000"/>
                <w:sz w:val="22"/>
                <w:szCs w:val="22"/>
              </w:rPr>
              <w:t>Refurbished 1998</w:t>
            </w:r>
          </w:p>
        </w:tc>
      </w:tr>
      <w:tr w:rsidR="002C4DD7" w:rsidRPr="0058634B" w14:paraId="304ABEB6" w14:textId="77777777" w:rsidTr="003B44A8">
        <w:trPr>
          <w:trHeight w:val="320"/>
        </w:trPr>
        <w:tc>
          <w:tcPr>
            <w:tcW w:w="2561" w:type="dxa"/>
            <w:tcBorders>
              <w:top w:val="dashSmallGap" w:sz="4" w:space="0" w:color="548DD4" w:themeColor="text2" w:themeTint="99"/>
              <w:left w:val="triple" w:sz="4" w:space="0" w:color="548DD4" w:themeColor="text2" w:themeTint="99"/>
              <w:bottom w:val="single" w:sz="4" w:space="0" w:color="548DD4" w:themeColor="text2" w:themeTint="99"/>
              <w:right w:val="dashSmallGap" w:sz="4" w:space="0" w:color="548DD4" w:themeColor="text2" w:themeTint="99"/>
            </w:tcBorders>
            <w:shd w:val="clear" w:color="auto" w:fill="auto"/>
            <w:vAlign w:val="center"/>
            <w:hideMark/>
          </w:tcPr>
          <w:p w14:paraId="4F1AF466" w14:textId="77777777" w:rsidR="002C4DD7" w:rsidRPr="003B44A8" w:rsidRDefault="002C4DD7" w:rsidP="003B44A8">
            <w:pPr>
              <w:ind w:firstLineChars="4" w:firstLine="9"/>
              <w:rPr>
                <w:rFonts w:asciiTheme="minorHAnsi" w:hAnsiTheme="minorHAnsi"/>
                <w:color w:val="000000"/>
                <w:sz w:val="22"/>
                <w:szCs w:val="22"/>
              </w:rPr>
            </w:pPr>
            <w:r w:rsidRPr="003B44A8">
              <w:rPr>
                <w:rFonts w:asciiTheme="minorHAnsi" w:hAnsiTheme="minorHAnsi" w:cstheme="minorHAnsi"/>
                <w:color w:val="000000"/>
                <w:sz w:val="22"/>
                <w:szCs w:val="22"/>
              </w:rPr>
              <w:t>St Stephen’s Centre</w:t>
            </w:r>
          </w:p>
        </w:tc>
        <w:tc>
          <w:tcPr>
            <w:tcW w:w="1326" w:type="dxa"/>
            <w:tcBorders>
              <w:top w:val="dashSmallGap" w:sz="4" w:space="0" w:color="548DD4" w:themeColor="text2" w:themeTint="99"/>
              <w:left w:val="dashSmallGap" w:sz="4" w:space="0" w:color="548DD4" w:themeColor="text2" w:themeTint="99"/>
              <w:bottom w:val="single" w:sz="4" w:space="0" w:color="548DD4" w:themeColor="text2" w:themeTint="99"/>
              <w:right w:val="dashSmallGap" w:sz="4" w:space="0" w:color="548DD4" w:themeColor="text2" w:themeTint="99"/>
            </w:tcBorders>
            <w:shd w:val="clear" w:color="auto" w:fill="auto"/>
            <w:noWrap/>
            <w:vAlign w:val="bottom"/>
            <w:hideMark/>
          </w:tcPr>
          <w:p w14:paraId="581ECE03" w14:textId="77777777" w:rsidR="002C4DD7" w:rsidRPr="003B44A8" w:rsidRDefault="002C4DD7" w:rsidP="00B15FBD">
            <w:pPr>
              <w:ind w:firstLine="142"/>
              <w:jc w:val="center"/>
              <w:rPr>
                <w:rFonts w:asciiTheme="minorHAnsi" w:hAnsiTheme="minorHAnsi"/>
                <w:color w:val="000000"/>
                <w:sz w:val="22"/>
                <w:szCs w:val="22"/>
              </w:rPr>
            </w:pPr>
          </w:p>
        </w:tc>
        <w:tc>
          <w:tcPr>
            <w:tcW w:w="1385" w:type="dxa"/>
            <w:tcBorders>
              <w:top w:val="dashSmallGap" w:sz="4" w:space="0" w:color="548DD4" w:themeColor="text2" w:themeTint="99"/>
              <w:left w:val="dashSmallGap" w:sz="4" w:space="0" w:color="548DD4" w:themeColor="text2" w:themeTint="99"/>
              <w:bottom w:val="single" w:sz="4" w:space="0" w:color="548DD4" w:themeColor="text2" w:themeTint="99"/>
              <w:right w:val="dashSmallGap" w:sz="4" w:space="0" w:color="548DD4" w:themeColor="text2" w:themeTint="99"/>
            </w:tcBorders>
            <w:shd w:val="clear" w:color="auto" w:fill="auto"/>
            <w:vAlign w:val="center"/>
            <w:hideMark/>
          </w:tcPr>
          <w:p w14:paraId="30D22494" w14:textId="77777777" w:rsidR="002C4DD7" w:rsidRPr="003B44A8" w:rsidRDefault="002C4DD7" w:rsidP="00B15FBD">
            <w:pPr>
              <w:ind w:firstLine="142"/>
              <w:jc w:val="center"/>
              <w:rPr>
                <w:rFonts w:asciiTheme="minorHAnsi" w:hAnsiTheme="minorHAnsi"/>
                <w:color w:val="000000"/>
                <w:sz w:val="22"/>
                <w:szCs w:val="22"/>
              </w:rPr>
            </w:pPr>
            <w:r w:rsidRPr="003B44A8">
              <w:rPr>
                <w:rFonts w:asciiTheme="minorHAnsi" w:hAnsiTheme="minorHAnsi"/>
                <w:color w:val="000000"/>
                <w:sz w:val="22"/>
                <w:szCs w:val="22"/>
              </w:rPr>
              <w:t>51,100</w:t>
            </w:r>
          </w:p>
        </w:tc>
        <w:tc>
          <w:tcPr>
            <w:tcW w:w="1455" w:type="dxa"/>
            <w:tcBorders>
              <w:top w:val="dashSmallGap" w:sz="4" w:space="0" w:color="548DD4" w:themeColor="text2" w:themeTint="99"/>
              <w:left w:val="dashSmallGap" w:sz="4" w:space="0" w:color="548DD4" w:themeColor="text2" w:themeTint="99"/>
              <w:bottom w:val="single" w:sz="4" w:space="0" w:color="548DD4" w:themeColor="text2" w:themeTint="99"/>
              <w:right w:val="dashSmallGap" w:sz="4" w:space="0" w:color="548DD4" w:themeColor="text2" w:themeTint="99"/>
            </w:tcBorders>
            <w:shd w:val="clear" w:color="auto" w:fill="auto"/>
            <w:vAlign w:val="center"/>
            <w:hideMark/>
          </w:tcPr>
          <w:p w14:paraId="08D2134B" w14:textId="77777777" w:rsidR="002C4DD7" w:rsidRPr="003B44A8" w:rsidRDefault="002C4DD7" w:rsidP="00B15FBD">
            <w:pPr>
              <w:ind w:firstLine="142"/>
              <w:jc w:val="center"/>
              <w:rPr>
                <w:rFonts w:asciiTheme="minorHAnsi" w:hAnsiTheme="minorHAnsi"/>
                <w:color w:val="000000"/>
                <w:sz w:val="22"/>
                <w:szCs w:val="22"/>
              </w:rPr>
            </w:pPr>
            <w:r w:rsidRPr="003B44A8">
              <w:rPr>
                <w:rFonts w:asciiTheme="minorHAnsi" w:hAnsiTheme="minorHAnsi" w:cstheme="minorHAnsi"/>
                <w:color w:val="000000"/>
                <w:sz w:val="22"/>
                <w:szCs w:val="22"/>
              </w:rPr>
              <w:t>2007</w:t>
            </w:r>
          </w:p>
        </w:tc>
        <w:tc>
          <w:tcPr>
            <w:tcW w:w="2983" w:type="dxa"/>
            <w:tcBorders>
              <w:top w:val="dashSmallGap" w:sz="4" w:space="0" w:color="548DD4" w:themeColor="text2" w:themeTint="99"/>
              <w:left w:val="dashSmallGap" w:sz="4" w:space="0" w:color="548DD4" w:themeColor="text2" w:themeTint="99"/>
              <w:bottom w:val="single" w:sz="4" w:space="0" w:color="548DD4" w:themeColor="text2" w:themeTint="99"/>
              <w:right w:val="triple" w:sz="4" w:space="0" w:color="548DD4" w:themeColor="text2" w:themeTint="99"/>
            </w:tcBorders>
            <w:shd w:val="clear" w:color="auto" w:fill="auto"/>
            <w:vAlign w:val="center"/>
            <w:hideMark/>
          </w:tcPr>
          <w:p w14:paraId="7E3AC955" w14:textId="77777777" w:rsidR="002C4DD7" w:rsidRPr="003B44A8" w:rsidRDefault="002C4DD7" w:rsidP="00B15FBD">
            <w:pPr>
              <w:ind w:firstLine="142"/>
              <w:rPr>
                <w:rFonts w:asciiTheme="minorHAnsi" w:hAnsiTheme="minorHAnsi"/>
                <w:color w:val="000000"/>
                <w:sz w:val="22"/>
                <w:szCs w:val="22"/>
              </w:rPr>
            </w:pPr>
          </w:p>
        </w:tc>
      </w:tr>
      <w:tr w:rsidR="002C4DD7" w:rsidRPr="0058634B" w14:paraId="1FE0CB29" w14:textId="77777777" w:rsidTr="003B44A8">
        <w:trPr>
          <w:trHeight w:val="340"/>
        </w:trPr>
        <w:tc>
          <w:tcPr>
            <w:tcW w:w="2561" w:type="dxa"/>
            <w:tcBorders>
              <w:top w:val="single" w:sz="4" w:space="0" w:color="548DD4" w:themeColor="text2" w:themeTint="99"/>
              <w:left w:val="triple" w:sz="4" w:space="0" w:color="548DD4" w:themeColor="text2" w:themeTint="99"/>
              <w:bottom w:val="triple" w:sz="4" w:space="0" w:color="548DD4" w:themeColor="text2" w:themeTint="99"/>
              <w:right w:val="dashSmallGap" w:sz="4" w:space="0" w:color="548DD4" w:themeColor="text2" w:themeTint="99"/>
            </w:tcBorders>
            <w:shd w:val="clear" w:color="auto" w:fill="auto"/>
            <w:vAlign w:val="center"/>
            <w:hideMark/>
          </w:tcPr>
          <w:p w14:paraId="3E831745" w14:textId="405CC786" w:rsidR="002C4DD7" w:rsidRPr="003B44A8" w:rsidRDefault="003B44A8" w:rsidP="003B44A8">
            <w:pPr>
              <w:ind w:firstLineChars="4" w:firstLine="9"/>
              <w:rPr>
                <w:rFonts w:asciiTheme="minorHAnsi" w:hAnsiTheme="minorHAnsi"/>
                <w:b/>
                <w:bCs/>
                <w:i/>
                <w:iCs/>
                <w:color w:val="000000"/>
                <w:sz w:val="22"/>
                <w:szCs w:val="22"/>
              </w:rPr>
            </w:pPr>
            <w:r w:rsidRPr="003B44A8">
              <w:rPr>
                <w:rFonts w:asciiTheme="minorHAnsi" w:hAnsiTheme="minorHAnsi"/>
                <w:b/>
                <w:bCs/>
                <w:i/>
                <w:iCs/>
                <w:color w:val="000000"/>
                <w:sz w:val="22"/>
                <w:szCs w:val="22"/>
              </w:rPr>
              <w:t xml:space="preserve">Est. </w:t>
            </w:r>
            <w:r w:rsidR="002C4DD7" w:rsidRPr="003B44A8">
              <w:rPr>
                <w:rFonts w:asciiTheme="minorHAnsi" w:hAnsiTheme="minorHAnsi"/>
                <w:b/>
                <w:bCs/>
                <w:i/>
                <w:iCs/>
                <w:color w:val="000000"/>
                <w:sz w:val="22"/>
                <w:szCs w:val="22"/>
              </w:rPr>
              <w:t xml:space="preserve">Total </w:t>
            </w:r>
            <w:r w:rsidRPr="003B44A8">
              <w:rPr>
                <w:rFonts w:asciiTheme="minorHAnsi" w:hAnsiTheme="minorHAnsi"/>
                <w:b/>
                <w:bCs/>
                <w:i/>
                <w:iCs/>
                <w:color w:val="000000"/>
                <w:sz w:val="22"/>
                <w:szCs w:val="22"/>
              </w:rPr>
              <w:t>Floorspace</w:t>
            </w:r>
          </w:p>
        </w:tc>
        <w:tc>
          <w:tcPr>
            <w:tcW w:w="1326" w:type="dxa"/>
            <w:tcBorders>
              <w:top w:val="single" w:sz="4" w:space="0" w:color="548DD4" w:themeColor="text2" w:themeTint="99"/>
              <w:left w:val="dashSmallGap" w:sz="4" w:space="0" w:color="548DD4" w:themeColor="text2" w:themeTint="99"/>
              <w:bottom w:val="triple" w:sz="4" w:space="0" w:color="548DD4" w:themeColor="text2" w:themeTint="99"/>
              <w:right w:val="dashSmallGap" w:sz="4" w:space="0" w:color="548DD4" w:themeColor="text2" w:themeTint="99"/>
            </w:tcBorders>
            <w:shd w:val="clear" w:color="auto" w:fill="auto"/>
            <w:noWrap/>
            <w:vAlign w:val="bottom"/>
            <w:hideMark/>
          </w:tcPr>
          <w:p w14:paraId="46209306" w14:textId="77777777" w:rsidR="002C4DD7" w:rsidRPr="003B44A8" w:rsidRDefault="002C4DD7" w:rsidP="00B15FBD">
            <w:pPr>
              <w:ind w:firstLine="142"/>
              <w:jc w:val="center"/>
              <w:rPr>
                <w:rFonts w:asciiTheme="minorHAnsi" w:hAnsiTheme="minorHAnsi"/>
                <w:b/>
                <w:bCs/>
                <w:color w:val="000000"/>
                <w:sz w:val="22"/>
                <w:szCs w:val="22"/>
              </w:rPr>
            </w:pPr>
            <w:r w:rsidRPr="003B44A8">
              <w:rPr>
                <w:rFonts w:asciiTheme="minorHAnsi" w:hAnsiTheme="minorHAnsi"/>
                <w:b/>
                <w:bCs/>
                <w:color w:val="000000"/>
                <w:sz w:val="22"/>
                <w:szCs w:val="22"/>
              </w:rPr>
              <w:t>174,000</w:t>
            </w:r>
          </w:p>
        </w:tc>
        <w:tc>
          <w:tcPr>
            <w:tcW w:w="1385" w:type="dxa"/>
            <w:tcBorders>
              <w:top w:val="single" w:sz="4" w:space="0" w:color="548DD4" w:themeColor="text2" w:themeTint="99"/>
              <w:left w:val="dashSmallGap" w:sz="4" w:space="0" w:color="548DD4" w:themeColor="text2" w:themeTint="99"/>
              <w:bottom w:val="triple" w:sz="4" w:space="0" w:color="548DD4" w:themeColor="text2" w:themeTint="99"/>
              <w:right w:val="dashSmallGap" w:sz="4" w:space="0" w:color="548DD4" w:themeColor="text2" w:themeTint="99"/>
            </w:tcBorders>
            <w:shd w:val="clear" w:color="auto" w:fill="auto"/>
            <w:noWrap/>
            <w:vAlign w:val="bottom"/>
            <w:hideMark/>
          </w:tcPr>
          <w:p w14:paraId="6AB528AA" w14:textId="77777777" w:rsidR="002C4DD7" w:rsidRPr="003B44A8" w:rsidRDefault="002C4DD7" w:rsidP="00B15FBD">
            <w:pPr>
              <w:ind w:firstLine="142"/>
              <w:jc w:val="center"/>
              <w:rPr>
                <w:rFonts w:asciiTheme="minorHAnsi" w:hAnsiTheme="minorHAnsi"/>
                <w:b/>
                <w:bCs/>
                <w:color w:val="000000"/>
                <w:sz w:val="22"/>
                <w:szCs w:val="22"/>
              </w:rPr>
            </w:pPr>
          </w:p>
        </w:tc>
        <w:tc>
          <w:tcPr>
            <w:tcW w:w="1455" w:type="dxa"/>
            <w:tcBorders>
              <w:top w:val="single" w:sz="4" w:space="0" w:color="548DD4" w:themeColor="text2" w:themeTint="99"/>
              <w:left w:val="dashSmallGap" w:sz="4" w:space="0" w:color="548DD4" w:themeColor="text2" w:themeTint="99"/>
              <w:bottom w:val="triple" w:sz="4" w:space="0" w:color="548DD4" w:themeColor="text2" w:themeTint="99"/>
              <w:right w:val="dashSmallGap" w:sz="4" w:space="0" w:color="548DD4" w:themeColor="text2" w:themeTint="99"/>
            </w:tcBorders>
            <w:shd w:val="clear" w:color="auto" w:fill="auto"/>
            <w:noWrap/>
            <w:vAlign w:val="bottom"/>
            <w:hideMark/>
          </w:tcPr>
          <w:p w14:paraId="42E5F9A5" w14:textId="77777777" w:rsidR="002C4DD7" w:rsidRPr="003B44A8" w:rsidRDefault="002C4DD7" w:rsidP="00B15FBD">
            <w:pPr>
              <w:ind w:firstLine="142"/>
              <w:jc w:val="center"/>
              <w:rPr>
                <w:rFonts w:asciiTheme="minorHAnsi" w:hAnsiTheme="minorHAnsi"/>
                <w:color w:val="000000"/>
                <w:sz w:val="22"/>
                <w:szCs w:val="22"/>
              </w:rPr>
            </w:pPr>
          </w:p>
        </w:tc>
        <w:tc>
          <w:tcPr>
            <w:tcW w:w="2983" w:type="dxa"/>
            <w:tcBorders>
              <w:top w:val="single" w:sz="4" w:space="0" w:color="548DD4" w:themeColor="text2" w:themeTint="99"/>
              <w:left w:val="dashSmallGap" w:sz="4" w:space="0" w:color="548DD4" w:themeColor="text2" w:themeTint="99"/>
              <w:bottom w:val="triple" w:sz="4" w:space="0" w:color="548DD4" w:themeColor="text2" w:themeTint="99"/>
              <w:right w:val="triple" w:sz="4" w:space="0" w:color="548DD4" w:themeColor="text2" w:themeTint="99"/>
            </w:tcBorders>
            <w:shd w:val="clear" w:color="auto" w:fill="auto"/>
            <w:noWrap/>
            <w:vAlign w:val="bottom"/>
            <w:hideMark/>
          </w:tcPr>
          <w:p w14:paraId="0BA6FA66" w14:textId="77777777" w:rsidR="002C4DD7" w:rsidRPr="003B44A8" w:rsidRDefault="002C4DD7" w:rsidP="00B15FBD">
            <w:pPr>
              <w:ind w:firstLine="142"/>
              <w:rPr>
                <w:rFonts w:asciiTheme="minorHAnsi" w:hAnsiTheme="minorHAnsi"/>
                <w:color w:val="000000"/>
                <w:sz w:val="22"/>
                <w:szCs w:val="22"/>
              </w:rPr>
            </w:pPr>
          </w:p>
        </w:tc>
      </w:tr>
    </w:tbl>
    <w:p w14:paraId="44CBD5D5" w14:textId="40397310" w:rsidR="00D9315F" w:rsidRPr="00F46539" w:rsidRDefault="00D9315F" w:rsidP="00D9315F">
      <w:pPr>
        <w:spacing w:line="360" w:lineRule="auto"/>
        <w:rPr>
          <w:rFonts w:asciiTheme="minorHAnsi" w:eastAsiaTheme="minorHAnsi" w:hAnsiTheme="minorHAnsi" w:cstheme="minorHAnsi"/>
          <w:sz w:val="20"/>
          <w:szCs w:val="20"/>
        </w:rPr>
      </w:pPr>
      <w:r w:rsidRPr="00F46539">
        <w:rPr>
          <w:rFonts w:asciiTheme="minorHAnsi" w:eastAsiaTheme="minorHAnsi" w:hAnsiTheme="minorHAnsi" w:cstheme="minorHAnsi"/>
          <w:sz w:val="20"/>
          <w:szCs w:val="20"/>
        </w:rPr>
        <w:t>Source: Compiled from CoStar, Completely Retail</w:t>
      </w:r>
      <w:r w:rsidR="00F46539" w:rsidRPr="00F46539">
        <w:rPr>
          <w:rFonts w:asciiTheme="minorHAnsi" w:eastAsiaTheme="minorHAnsi" w:hAnsiTheme="minorHAnsi" w:cstheme="minorHAnsi"/>
          <w:sz w:val="20"/>
          <w:szCs w:val="20"/>
        </w:rPr>
        <w:t>,</w:t>
      </w:r>
      <w:r w:rsidRPr="00F46539">
        <w:rPr>
          <w:rFonts w:asciiTheme="minorHAnsi" w:eastAsiaTheme="minorHAnsi" w:hAnsiTheme="minorHAnsi" w:cstheme="minorHAnsi"/>
          <w:sz w:val="20"/>
          <w:szCs w:val="20"/>
        </w:rPr>
        <w:t xml:space="preserve"> PMA (2020</w:t>
      </w:r>
      <w:r w:rsidR="00EB727F">
        <w:rPr>
          <w:rFonts w:asciiTheme="minorHAnsi" w:eastAsiaTheme="minorHAnsi" w:hAnsiTheme="minorHAnsi" w:cstheme="minorHAnsi"/>
          <w:sz w:val="20"/>
          <w:szCs w:val="20"/>
        </w:rPr>
        <w:t>c</w:t>
      </w:r>
      <w:r w:rsidRPr="00F46539">
        <w:rPr>
          <w:rFonts w:asciiTheme="minorHAnsi" w:eastAsiaTheme="minorHAnsi" w:hAnsiTheme="minorHAnsi" w:cstheme="minorHAnsi"/>
          <w:sz w:val="20"/>
          <w:szCs w:val="20"/>
        </w:rPr>
        <w:t>)</w:t>
      </w:r>
      <w:r w:rsidR="00F46539" w:rsidRPr="00F46539">
        <w:rPr>
          <w:rFonts w:asciiTheme="minorHAnsi" w:eastAsiaTheme="minorHAnsi" w:hAnsiTheme="minorHAnsi" w:cstheme="minorHAnsi"/>
          <w:sz w:val="20"/>
          <w:szCs w:val="20"/>
        </w:rPr>
        <w:t>.</w:t>
      </w:r>
    </w:p>
    <w:p w14:paraId="16BFED2E" w14:textId="409FC6FC" w:rsidR="00B93C1C" w:rsidRDefault="00B93C1C" w:rsidP="007D3B19">
      <w:pPr>
        <w:spacing w:line="360" w:lineRule="auto"/>
        <w:jc w:val="both"/>
        <w:rPr>
          <w:rFonts w:asciiTheme="minorHAnsi" w:eastAsiaTheme="minorHAnsi" w:hAnsiTheme="minorHAnsi" w:cstheme="minorHAnsi"/>
        </w:rPr>
      </w:pPr>
    </w:p>
    <w:p w14:paraId="43E2E0B8" w14:textId="1E69E8D9" w:rsidR="007B011A" w:rsidRPr="00182F05" w:rsidRDefault="007B011A" w:rsidP="007B011A">
      <w:pPr>
        <w:spacing w:line="360" w:lineRule="auto"/>
        <w:jc w:val="both"/>
        <w:rPr>
          <w:rFonts w:asciiTheme="minorHAnsi" w:eastAsiaTheme="minorHAnsi" w:hAnsiTheme="minorHAnsi"/>
          <w:lang w:eastAsia="en-US"/>
        </w:rPr>
      </w:pPr>
      <w:r w:rsidRPr="00182F05">
        <w:rPr>
          <w:rFonts w:asciiTheme="minorHAnsi" w:eastAsiaTheme="minorHAnsi" w:hAnsiTheme="minorHAnsi" w:cstheme="minorHAnsi"/>
        </w:rPr>
        <w:t>In terms of affluence, PMA (202</w:t>
      </w:r>
      <w:r w:rsidR="00EB727F">
        <w:rPr>
          <w:rFonts w:asciiTheme="minorHAnsi" w:eastAsiaTheme="minorHAnsi" w:hAnsiTheme="minorHAnsi" w:cstheme="minorHAnsi"/>
        </w:rPr>
        <w:t>0c</w:t>
      </w:r>
      <w:r w:rsidRPr="00182F05">
        <w:rPr>
          <w:rFonts w:asciiTheme="minorHAnsi" w:eastAsiaTheme="minorHAnsi" w:hAnsiTheme="minorHAnsi" w:cstheme="minorHAnsi"/>
        </w:rPr>
        <w:t xml:space="preserve">) rank Hull relatively low. Partly due to the city’s higher than average percentage of economically inactive residents which accounted for 24.5% of the </w:t>
      </w:r>
      <w:r w:rsidRPr="00182F05">
        <w:rPr>
          <w:rFonts w:asciiTheme="minorHAnsi" w:eastAsiaTheme="minorHAnsi" w:hAnsiTheme="minorHAnsi"/>
          <w:lang w:eastAsia="en-US"/>
        </w:rPr>
        <w:t>260,000 residents in 2017 (</w:t>
      </w:r>
      <w:proofErr w:type="spellStart"/>
      <w:r w:rsidRPr="00182F05">
        <w:rPr>
          <w:rFonts w:asciiTheme="minorHAnsi" w:eastAsiaTheme="minorHAnsi" w:hAnsiTheme="minorHAnsi"/>
          <w:lang w:eastAsia="en-US"/>
        </w:rPr>
        <w:t>nomis</w:t>
      </w:r>
      <w:proofErr w:type="spellEnd"/>
      <w:r w:rsidRPr="00182F05">
        <w:rPr>
          <w:rFonts w:asciiTheme="minorHAnsi" w:eastAsiaTheme="minorHAnsi" w:hAnsiTheme="minorHAnsi"/>
          <w:lang w:eastAsia="en-US"/>
        </w:rPr>
        <w:t>, 2020). The population of the city has grown by 3.1% since 2000, driven by Hull City Council’s strategic objective which has given rise to a number of residential conversions within the city centre.</w:t>
      </w:r>
    </w:p>
    <w:p w14:paraId="71D3C1AA" w14:textId="70D2BC1F" w:rsidR="007B011A" w:rsidRPr="00182F05" w:rsidRDefault="007B011A" w:rsidP="007B011A">
      <w:pPr>
        <w:spacing w:line="360" w:lineRule="auto"/>
        <w:jc w:val="both"/>
        <w:rPr>
          <w:rFonts w:asciiTheme="minorHAnsi" w:eastAsiaTheme="minorHAnsi" w:hAnsiTheme="minorHAnsi"/>
          <w:lang w:eastAsia="en-US"/>
        </w:rPr>
      </w:pPr>
    </w:p>
    <w:p w14:paraId="63B99A41" w14:textId="7950FDBA" w:rsidR="007B011A" w:rsidRPr="00182F05" w:rsidRDefault="007B011A" w:rsidP="007B011A">
      <w:pPr>
        <w:spacing w:line="360" w:lineRule="auto"/>
        <w:jc w:val="both"/>
        <w:rPr>
          <w:rFonts w:asciiTheme="minorHAnsi" w:eastAsiaTheme="minorHAnsi" w:hAnsiTheme="minorHAnsi" w:cstheme="minorHAnsi"/>
        </w:rPr>
      </w:pPr>
      <w:r w:rsidRPr="00182F05">
        <w:rPr>
          <w:rFonts w:asciiTheme="minorHAnsi" w:eastAsiaTheme="minorHAnsi" w:hAnsiTheme="minorHAnsi" w:cstheme="minorHAnsi"/>
        </w:rPr>
        <w:t xml:space="preserve">Hull was the UK City of Culture in 2017 which stimulated growth in tourist numbers visiting the city and Humber region. Tourism in 2017 was worth £313 million to the city economy, growing </w:t>
      </w:r>
      <w:r w:rsidRPr="00182F05">
        <w:rPr>
          <w:rFonts w:asciiTheme="minorHAnsi" w:eastAsiaTheme="minorHAnsi" w:hAnsiTheme="minorHAnsi" w:cstheme="minorHAnsi"/>
        </w:rPr>
        <w:lastRenderedPageBreak/>
        <w:t>27.7% over the preceding five year period. Total visits to Hull hit 6,200,000 in 2017 although this is largely dominated by domestic visitors as only 44,000 overnight stays of a total 416,000 were made by international visitors. The total employed in tourism in 2017 was 6,735 (Berriman, 2018)</w:t>
      </w:r>
      <w:r w:rsidR="00EB727F">
        <w:rPr>
          <w:rFonts w:asciiTheme="minorHAnsi" w:eastAsiaTheme="minorHAnsi" w:hAnsiTheme="minorHAnsi" w:cstheme="minorHAnsi"/>
        </w:rPr>
        <w:t xml:space="preserve"> </w:t>
      </w:r>
      <w:r w:rsidR="00EB727F" w:rsidRPr="00182F05">
        <w:rPr>
          <w:rFonts w:asciiTheme="minorHAnsi" w:eastAsiaTheme="minorHAnsi" w:hAnsiTheme="minorHAnsi" w:cstheme="minorHAnsi"/>
        </w:rPr>
        <w:t xml:space="preserve">although the effects of the pandemic are likely to have had a significant impact on the numbers visiting the area in 2020 </w:t>
      </w:r>
      <w:r w:rsidR="00EB727F">
        <w:rPr>
          <w:rFonts w:asciiTheme="minorHAnsi" w:eastAsiaTheme="minorHAnsi" w:hAnsiTheme="minorHAnsi" w:cstheme="minorHAnsi"/>
        </w:rPr>
        <w:t>and 2021</w:t>
      </w:r>
      <w:r w:rsidRPr="00182F05">
        <w:rPr>
          <w:rFonts w:asciiTheme="minorHAnsi" w:eastAsiaTheme="minorHAnsi" w:hAnsiTheme="minorHAnsi" w:cstheme="minorHAnsi"/>
        </w:rPr>
        <w:t>.</w:t>
      </w:r>
    </w:p>
    <w:p w14:paraId="1F4C0EDC" w14:textId="77777777" w:rsidR="007B011A" w:rsidRPr="00182F05" w:rsidRDefault="007B011A" w:rsidP="007D3B19">
      <w:pPr>
        <w:spacing w:line="360" w:lineRule="auto"/>
        <w:jc w:val="both"/>
        <w:rPr>
          <w:rFonts w:asciiTheme="minorHAnsi" w:eastAsiaTheme="minorHAnsi" w:hAnsiTheme="minorHAnsi" w:cstheme="minorHAnsi"/>
        </w:rPr>
      </w:pPr>
    </w:p>
    <w:p w14:paraId="0191F2AB" w14:textId="3322B5BE" w:rsidR="009E73B1" w:rsidRPr="00182F05" w:rsidRDefault="00B93C1C" w:rsidP="007D3B19">
      <w:pPr>
        <w:spacing w:line="360" w:lineRule="auto"/>
        <w:jc w:val="both"/>
        <w:rPr>
          <w:rFonts w:asciiTheme="minorHAnsi" w:eastAsiaTheme="minorHAnsi" w:hAnsiTheme="minorHAnsi" w:cstheme="minorHAnsi"/>
        </w:rPr>
      </w:pPr>
      <w:r w:rsidRPr="00182F05">
        <w:rPr>
          <w:rFonts w:asciiTheme="minorHAnsi" w:eastAsiaTheme="minorHAnsi" w:hAnsiTheme="minorHAnsi" w:cstheme="minorHAnsi"/>
        </w:rPr>
        <w:t xml:space="preserve">The city’s economy has traditionally been structured around The Port of Hull and port related activities. While the port declined in the 1970s and 1980s, it has recovered in recent years </w:t>
      </w:r>
      <w:r w:rsidR="0035211E" w:rsidRPr="00182F05">
        <w:rPr>
          <w:rFonts w:asciiTheme="minorHAnsi" w:eastAsiaTheme="minorHAnsi" w:hAnsiTheme="minorHAnsi" w:cstheme="minorHAnsi"/>
        </w:rPr>
        <w:t xml:space="preserve">with </w:t>
      </w:r>
      <w:r w:rsidR="00207CB6" w:rsidRPr="00182F05">
        <w:rPr>
          <w:rFonts w:asciiTheme="minorHAnsi" w:eastAsiaTheme="minorHAnsi" w:hAnsiTheme="minorHAnsi" w:cstheme="minorHAnsi"/>
        </w:rPr>
        <w:t>transportation and storage represent</w:t>
      </w:r>
      <w:r w:rsidR="0035211E" w:rsidRPr="00182F05">
        <w:rPr>
          <w:rFonts w:asciiTheme="minorHAnsi" w:eastAsiaTheme="minorHAnsi" w:hAnsiTheme="minorHAnsi" w:cstheme="minorHAnsi"/>
        </w:rPr>
        <w:t>ing</w:t>
      </w:r>
      <w:r w:rsidR="00207CB6" w:rsidRPr="00182F05">
        <w:rPr>
          <w:rFonts w:asciiTheme="minorHAnsi" w:eastAsiaTheme="minorHAnsi" w:hAnsiTheme="minorHAnsi" w:cstheme="minorHAnsi"/>
        </w:rPr>
        <w:t xml:space="preserve"> 5% of the local economy</w:t>
      </w:r>
      <w:r w:rsidR="00DA5F93" w:rsidRPr="00182F05">
        <w:rPr>
          <w:rFonts w:asciiTheme="minorHAnsi" w:eastAsiaTheme="minorHAnsi" w:hAnsiTheme="minorHAnsi" w:cstheme="minorHAnsi"/>
        </w:rPr>
        <w:t xml:space="preserve"> in 2017</w:t>
      </w:r>
      <w:r w:rsidR="00207CB6" w:rsidRPr="00182F05">
        <w:rPr>
          <w:rFonts w:asciiTheme="minorHAnsi" w:eastAsiaTheme="minorHAnsi" w:hAnsiTheme="minorHAnsi" w:cstheme="minorHAnsi"/>
        </w:rPr>
        <w:t xml:space="preserve">. Manufacturing made up 28.7% of GVA </w:t>
      </w:r>
      <w:r w:rsidR="00182F05">
        <w:rPr>
          <w:rFonts w:asciiTheme="minorHAnsi" w:eastAsiaTheme="minorHAnsi" w:hAnsiTheme="minorHAnsi" w:cstheme="minorHAnsi"/>
        </w:rPr>
        <w:t xml:space="preserve">in 2017 </w:t>
      </w:r>
      <w:r w:rsidR="00207CB6" w:rsidRPr="00182F05">
        <w:rPr>
          <w:rFonts w:asciiTheme="minorHAnsi" w:eastAsiaTheme="minorHAnsi" w:hAnsiTheme="minorHAnsi" w:cstheme="minorHAnsi"/>
        </w:rPr>
        <w:t xml:space="preserve">while </w:t>
      </w:r>
      <w:r w:rsidR="00BF432A" w:rsidRPr="00182F05">
        <w:rPr>
          <w:rFonts w:asciiTheme="minorHAnsi" w:eastAsiaTheme="minorHAnsi" w:hAnsiTheme="minorHAnsi" w:cstheme="minorHAnsi"/>
        </w:rPr>
        <w:t xml:space="preserve">production and </w:t>
      </w:r>
      <w:r w:rsidR="00207CB6" w:rsidRPr="00182F05">
        <w:rPr>
          <w:rFonts w:asciiTheme="minorHAnsi" w:eastAsiaTheme="minorHAnsi" w:hAnsiTheme="minorHAnsi" w:cstheme="minorHAnsi"/>
        </w:rPr>
        <w:t>services accounted for</w:t>
      </w:r>
      <w:r w:rsidR="00BF432A" w:rsidRPr="00182F05">
        <w:rPr>
          <w:rFonts w:asciiTheme="minorHAnsi" w:eastAsiaTheme="minorHAnsi" w:hAnsiTheme="minorHAnsi" w:cstheme="minorHAnsi"/>
        </w:rPr>
        <w:t xml:space="preserve"> 31.6% and</w:t>
      </w:r>
      <w:r w:rsidR="00207CB6" w:rsidRPr="00182F05">
        <w:rPr>
          <w:rFonts w:asciiTheme="minorHAnsi" w:eastAsiaTheme="minorHAnsi" w:hAnsiTheme="minorHAnsi" w:cstheme="minorHAnsi"/>
        </w:rPr>
        <w:t xml:space="preserve"> 62.6% of the local economy</w:t>
      </w:r>
      <w:r w:rsidR="00BF432A" w:rsidRPr="00182F05">
        <w:rPr>
          <w:rFonts w:asciiTheme="minorHAnsi" w:eastAsiaTheme="minorHAnsi" w:hAnsiTheme="minorHAnsi" w:cstheme="minorHAnsi"/>
        </w:rPr>
        <w:t>, respectively</w:t>
      </w:r>
      <w:r w:rsidR="00207CB6" w:rsidRPr="00182F05">
        <w:rPr>
          <w:rFonts w:asciiTheme="minorHAnsi" w:eastAsiaTheme="minorHAnsi" w:hAnsiTheme="minorHAnsi" w:cstheme="minorHAnsi"/>
        </w:rPr>
        <w:t>.</w:t>
      </w:r>
      <w:r w:rsidR="00BF432A" w:rsidRPr="00182F05">
        <w:rPr>
          <w:rFonts w:asciiTheme="minorHAnsi" w:eastAsiaTheme="minorHAnsi" w:hAnsiTheme="minorHAnsi" w:cstheme="minorHAnsi"/>
        </w:rPr>
        <w:t xml:space="preserve"> </w:t>
      </w:r>
      <w:r w:rsidR="0035211E" w:rsidRPr="00182F05">
        <w:rPr>
          <w:rFonts w:asciiTheme="minorHAnsi" w:eastAsiaTheme="minorHAnsi" w:hAnsiTheme="minorHAnsi" w:cstheme="minorHAnsi"/>
        </w:rPr>
        <w:t>The p</w:t>
      </w:r>
      <w:r w:rsidR="00BF432A" w:rsidRPr="00182F05">
        <w:rPr>
          <w:rFonts w:asciiTheme="minorHAnsi" w:eastAsiaTheme="minorHAnsi" w:hAnsiTheme="minorHAnsi" w:cstheme="minorHAnsi"/>
        </w:rPr>
        <w:t xml:space="preserve">ublic sector </w:t>
      </w:r>
      <w:r w:rsidR="00182F05">
        <w:rPr>
          <w:rFonts w:asciiTheme="minorHAnsi" w:eastAsiaTheme="minorHAnsi" w:hAnsiTheme="minorHAnsi" w:cstheme="minorHAnsi"/>
        </w:rPr>
        <w:t>i</w:t>
      </w:r>
      <w:r w:rsidR="00BF432A" w:rsidRPr="00182F05">
        <w:rPr>
          <w:rFonts w:asciiTheme="minorHAnsi" w:eastAsiaTheme="minorHAnsi" w:hAnsiTheme="minorHAnsi" w:cstheme="minorHAnsi"/>
        </w:rPr>
        <w:t>s the biggest employer in the city, providing 36,000 jobs (28.8% of all jobs)</w:t>
      </w:r>
      <w:r w:rsidR="00182F05" w:rsidRPr="00182F05">
        <w:rPr>
          <w:rFonts w:asciiTheme="minorHAnsi" w:eastAsiaTheme="minorHAnsi" w:hAnsiTheme="minorHAnsi" w:cstheme="minorHAnsi"/>
        </w:rPr>
        <w:t xml:space="preserve"> (</w:t>
      </w:r>
      <w:proofErr w:type="spellStart"/>
      <w:r w:rsidR="00182F05" w:rsidRPr="00182F05">
        <w:rPr>
          <w:rFonts w:asciiTheme="minorHAnsi" w:eastAsiaTheme="minorHAnsi" w:hAnsiTheme="minorHAnsi"/>
          <w:lang w:eastAsia="en-US"/>
        </w:rPr>
        <w:t>nomis</w:t>
      </w:r>
      <w:proofErr w:type="spellEnd"/>
      <w:r w:rsidR="00182F05" w:rsidRPr="00182F05">
        <w:rPr>
          <w:rFonts w:asciiTheme="minorHAnsi" w:eastAsiaTheme="minorHAnsi" w:hAnsiTheme="minorHAnsi"/>
          <w:lang w:eastAsia="en-US"/>
        </w:rPr>
        <w:t>, 2020).</w:t>
      </w:r>
    </w:p>
    <w:p w14:paraId="698DB75C" w14:textId="77777777" w:rsidR="00207CB6" w:rsidRPr="00182F05" w:rsidRDefault="00207CB6" w:rsidP="007D3B19">
      <w:pPr>
        <w:spacing w:line="360" w:lineRule="auto"/>
        <w:jc w:val="both"/>
        <w:rPr>
          <w:rFonts w:asciiTheme="minorHAnsi" w:eastAsiaTheme="minorHAnsi" w:hAnsiTheme="minorHAnsi" w:cstheme="minorHAnsi"/>
        </w:rPr>
      </w:pPr>
    </w:p>
    <w:p w14:paraId="2F80C0D4" w14:textId="04793984" w:rsidR="009E73B1" w:rsidRPr="00182F05" w:rsidRDefault="009E73B1" w:rsidP="007B011A">
      <w:pPr>
        <w:spacing w:line="360" w:lineRule="auto"/>
        <w:jc w:val="both"/>
        <w:rPr>
          <w:rFonts w:asciiTheme="minorHAnsi" w:eastAsiaTheme="minorHAnsi" w:hAnsiTheme="minorHAnsi" w:cstheme="minorHAnsi"/>
        </w:rPr>
      </w:pPr>
      <w:r w:rsidRPr="00182F05">
        <w:rPr>
          <w:rFonts w:asciiTheme="minorHAnsi" w:eastAsiaTheme="minorHAnsi" w:hAnsiTheme="minorHAnsi" w:cstheme="minorHAnsi"/>
        </w:rPr>
        <w:t>The publi</w:t>
      </w:r>
      <w:r w:rsidR="00CF6DBF" w:rsidRPr="00182F05">
        <w:rPr>
          <w:rFonts w:asciiTheme="minorHAnsi" w:eastAsiaTheme="minorHAnsi" w:hAnsiTheme="minorHAnsi" w:cstheme="minorHAnsi"/>
        </w:rPr>
        <w:t>c</w:t>
      </w:r>
      <w:r w:rsidRPr="00182F05">
        <w:rPr>
          <w:rFonts w:asciiTheme="minorHAnsi" w:eastAsiaTheme="minorHAnsi" w:hAnsiTheme="minorHAnsi" w:cstheme="minorHAnsi"/>
        </w:rPr>
        <w:t xml:space="preserve"> sector has been proactive in </w:t>
      </w:r>
      <w:r w:rsidR="00B93C1C" w:rsidRPr="00182F05">
        <w:rPr>
          <w:rFonts w:asciiTheme="minorHAnsi" w:eastAsiaTheme="minorHAnsi" w:hAnsiTheme="minorHAnsi" w:cstheme="minorHAnsi"/>
        </w:rPr>
        <w:t xml:space="preserve">regenerating </w:t>
      </w:r>
      <w:r w:rsidRPr="00182F05">
        <w:rPr>
          <w:rFonts w:asciiTheme="minorHAnsi" w:eastAsiaTheme="minorHAnsi" w:hAnsiTheme="minorHAnsi" w:cstheme="minorHAnsi"/>
        </w:rPr>
        <w:t xml:space="preserve">Hull, spending </w:t>
      </w:r>
      <w:r w:rsidR="00CF6DBF" w:rsidRPr="00182F05">
        <w:rPr>
          <w:rFonts w:asciiTheme="minorHAnsi" w:eastAsiaTheme="minorHAnsi" w:hAnsiTheme="minorHAnsi" w:cstheme="minorHAnsi"/>
        </w:rPr>
        <w:t xml:space="preserve">£25 million to deliver </w:t>
      </w:r>
      <w:r w:rsidR="00DA5F93" w:rsidRPr="00182F05">
        <w:rPr>
          <w:rFonts w:asciiTheme="minorHAnsi" w:eastAsiaTheme="minorHAnsi" w:hAnsiTheme="minorHAnsi" w:cstheme="minorHAnsi"/>
        </w:rPr>
        <w:t>a</w:t>
      </w:r>
      <w:r w:rsidRPr="00182F05">
        <w:rPr>
          <w:rFonts w:asciiTheme="minorHAnsi" w:eastAsiaTheme="minorHAnsi" w:hAnsiTheme="minorHAnsi" w:cstheme="minorHAnsi"/>
        </w:rPr>
        <w:t xml:space="preserve"> </w:t>
      </w:r>
      <w:r w:rsidR="00CF6DBF" w:rsidRPr="00182F05">
        <w:rPr>
          <w:rFonts w:asciiTheme="minorHAnsi" w:eastAsiaTheme="minorHAnsi" w:hAnsiTheme="minorHAnsi" w:cstheme="minorHAnsi"/>
        </w:rPr>
        <w:t xml:space="preserve">public </w:t>
      </w:r>
      <w:r w:rsidRPr="00182F05">
        <w:rPr>
          <w:rFonts w:asciiTheme="minorHAnsi" w:eastAsiaTheme="minorHAnsi" w:hAnsiTheme="minorHAnsi" w:cstheme="minorHAnsi"/>
        </w:rPr>
        <w:t>realm</w:t>
      </w:r>
      <w:r w:rsidR="00CF6DBF" w:rsidRPr="00182F05">
        <w:rPr>
          <w:rFonts w:asciiTheme="minorHAnsi" w:eastAsiaTheme="minorHAnsi" w:hAnsiTheme="minorHAnsi" w:cstheme="minorHAnsi"/>
        </w:rPr>
        <w:t xml:space="preserve"> strategy in the city centre</w:t>
      </w:r>
      <w:r w:rsidR="00DA5F93" w:rsidRPr="00182F05">
        <w:rPr>
          <w:rFonts w:asciiTheme="minorHAnsi" w:eastAsiaTheme="minorHAnsi" w:hAnsiTheme="minorHAnsi" w:cstheme="minorHAnsi"/>
        </w:rPr>
        <w:t xml:space="preserve"> that has seen substantial improvements to the streets and open spaces in and around the retailing area of the centre</w:t>
      </w:r>
      <w:r w:rsidR="00CF6DBF" w:rsidRPr="00182F05">
        <w:rPr>
          <w:rFonts w:asciiTheme="minorHAnsi" w:eastAsiaTheme="minorHAnsi" w:hAnsiTheme="minorHAnsi" w:cstheme="minorHAnsi"/>
        </w:rPr>
        <w:t>.</w:t>
      </w:r>
      <w:r w:rsidR="00F56624">
        <w:rPr>
          <w:rFonts w:asciiTheme="minorHAnsi" w:eastAsiaTheme="minorHAnsi" w:hAnsiTheme="minorHAnsi" w:cstheme="minorHAnsi"/>
        </w:rPr>
        <w:t xml:space="preserve"> </w:t>
      </w:r>
      <w:r w:rsidR="00DA5F93" w:rsidRPr="00182F05">
        <w:rPr>
          <w:rFonts w:asciiTheme="minorHAnsi" w:eastAsiaTheme="minorHAnsi" w:hAnsiTheme="minorHAnsi" w:cstheme="minorHAnsi"/>
        </w:rPr>
        <w:t xml:space="preserve">The </w:t>
      </w:r>
      <w:r w:rsidR="00EB727F">
        <w:rPr>
          <w:rFonts w:asciiTheme="minorHAnsi" w:eastAsiaTheme="minorHAnsi" w:hAnsiTheme="minorHAnsi" w:cstheme="minorHAnsi"/>
        </w:rPr>
        <w:t>l</w:t>
      </w:r>
      <w:r w:rsidR="00DA5F93" w:rsidRPr="00182F05">
        <w:rPr>
          <w:rFonts w:asciiTheme="minorHAnsi" w:eastAsiaTheme="minorHAnsi" w:hAnsiTheme="minorHAnsi" w:cstheme="minorHAnsi"/>
        </w:rPr>
        <w:t xml:space="preserve">ocal </w:t>
      </w:r>
      <w:r w:rsidR="00EB727F">
        <w:rPr>
          <w:rFonts w:asciiTheme="minorHAnsi" w:eastAsiaTheme="minorHAnsi" w:hAnsiTheme="minorHAnsi" w:cstheme="minorHAnsi"/>
        </w:rPr>
        <w:t>a</w:t>
      </w:r>
      <w:r w:rsidR="00DA5F93" w:rsidRPr="00182F05">
        <w:rPr>
          <w:rFonts w:asciiTheme="minorHAnsi" w:eastAsiaTheme="minorHAnsi" w:hAnsiTheme="minorHAnsi" w:cstheme="minorHAnsi"/>
        </w:rPr>
        <w:t xml:space="preserve">uthority </w:t>
      </w:r>
      <w:r w:rsidRPr="00182F05">
        <w:rPr>
          <w:rFonts w:asciiTheme="minorHAnsi" w:eastAsiaTheme="minorHAnsi" w:hAnsiTheme="minorHAnsi" w:cstheme="minorHAnsi"/>
        </w:rPr>
        <w:t>has also led on a number of significant regeneration projects, including £80 million invest</w:t>
      </w:r>
      <w:r w:rsidR="00DA5F93" w:rsidRPr="00182F05">
        <w:rPr>
          <w:rFonts w:asciiTheme="minorHAnsi" w:eastAsiaTheme="minorHAnsi" w:hAnsiTheme="minorHAnsi" w:cstheme="minorHAnsi"/>
        </w:rPr>
        <w:t>ed</w:t>
      </w:r>
      <w:r w:rsidRPr="00182F05">
        <w:rPr>
          <w:rFonts w:asciiTheme="minorHAnsi" w:eastAsiaTheme="minorHAnsi" w:hAnsiTheme="minorHAnsi" w:cstheme="minorHAnsi"/>
        </w:rPr>
        <w:t xml:space="preserve"> to convert disused warehouses into food and drink outlets in the historic Fruit Market, and £10million </w:t>
      </w:r>
      <w:r w:rsidR="00894E10" w:rsidRPr="00182F05">
        <w:rPr>
          <w:rFonts w:asciiTheme="minorHAnsi" w:eastAsiaTheme="minorHAnsi" w:hAnsiTheme="minorHAnsi" w:cstheme="minorHAnsi"/>
        </w:rPr>
        <w:t xml:space="preserve">has been </w:t>
      </w:r>
      <w:r w:rsidRPr="00182F05">
        <w:rPr>
          <w:rFonts w:asciiTheme="minorHAnsi" w:eastAsiaTheme="minorHAnsi" w:hAnsiTheme="minorHAnsi" w:cstheme="minorHAnsi"/>
        </w:rPr>
        <w:t>spen</w:t>
      </w:r>
      <w:r w:rsidR="00894E10" w:rsidRPr="00182F05">
        <w:rPr>
          <w:rFonts w:asciiTheme="minorHAnsi" w:eastAsiaTheme="minorHAnsi" w:hAnsiTheme="minorHAnsi" w:cstheme="minorHAnsi"/>
        </w:rPr>
        <w:t>t</w:t>
      </w:r>
      <w:r w:rsidRPr="00182F05">
        <w:rPr>
          <w:rFonts w:asciiTheme="minorHAnsi" w:eastAsiaTheme="minorHAnsi" w:hAnsiTheme="minorHAnsi" w:cstheme="minorHAnsi"/>
        </w:rPr>
        <w:t xml:space="preserve"> on the city’s Old Town</w:t>
      </w:r>
      <w:r w:rsidR="00894E10" w:rsidRPr="00182F05">
        <w:rPr>
          <w:rFonts w:asciiTheme="minorHAnsi" w:eastAsiaTheme="minorHAnsi" w:hAnsiTheme="minorHAnsi" w:cstheme="minorHAnsi"/>
        </w:rPr>
        <w:t xml:space="preserve">, now a Heritage Action Zone, </w:t>
      </w:r>
      <w:r w:rsidRPr="00182F05">
        <w:rPr>
          <w:rFonts w:asciiTheme="minorHAnsi" w:eastAsiaTheme="minorHAnsi" w:hAnsiTheme="minorHAnsi" w:cstheme="minorHAnsi"/>
        </w:rPr>
        <w:t xml:space="preserve">including the refurbishment of Trinity Market. </w:t>
      </w:r>
      <w:r w:rsidR="00965DE5">
        <w:rPr>
          <w:rFonts w:asciiTheme="minorHAnsi" w:eastAsiaTheme="minorHAnsi" w:hAnsiTheme="minorHAnsi" w:cstheme="minorHAnsi"/>
        </w:rPr>
        <w:t xml:space="preserve">The </w:t>
      </w:r>
      <w:r w:rsidRPr="00182F05">
        <w:rPr>
          <w:rFonts w:asciiTheme="minorHAnsi" w:eastAsiaTheme="minorHAnsi" w:hAnsiTheme="minorHAnsi" w:cstheme="minorHAnsi"/>
        </w:rPr>
        <w:t>Bonus Arena, a state-of-the-art music and events complex, was opened in 2018</w:t>
      </w:r>
      <w:r w:rsidR="00B93C1C" w:rsidRPr="00182F05">
        <w:rPr>
          <w:rFonts w:asciiTheme="minorHAnsi" w:eastAsiaTheme="minorHAnsi" w:hAnsiTheme="minorHAnsi" w:cstheme="minorHAnsi"/>
        </w:rPr>
        <w:t xml:space="preserve"> (Invest Hull, 2020)</w:t>
      </w:r>
      <w:r w:rsidRPr="00182F05">
        <w:rPr>
          <w:rFonts w:asciiTheme="minorHAnsi" w:eastAsiaTheme="minorHAnsi" w:hAnsiTheme="minorHAnsi" w:cstheme="minorHAnsi"/>
        </w:rPr>
        <w:t>.</w:t>
      </w:r>
    </w:p>
    <w:p w14:paraId="0C592379" w14:textId="52B29905" w:rsidR="00894E10" w:rsidRPr="00182F05" w:rsidRDefault="00894E10" w:rsidP="007B011A">
      <w:pPr>
        <w:spacing w:line="360" w:lineRule="auto"/>
        <w:jc w:val="both"/>
        <w:rPr>
          <w:rFonts w:asciiTheme="minorHAnsi" w:eastAsiaTheme="minorHAnsi" w:hAnsiTheme="minorHAnsi" w:cstheme="minorHAnsi"/>
        </w:rPr>
      </w:pPr>
    </w:p>
    <w:p w14:paraId="28A53A45" w14:textId="23AC8DD5" w:rsidR="00894E10" w:rsidRPr="00182F05" w:rsidRDefault="00894E10" w:rsidP="007B011A">
      <w:pPr>
        <w:spacing w:line="360" w:lineRule="auto"/>
        <w:jc w:val="both"/>
        <w:rPr>
          <w:rFonts w:asciiTheme="minorHAnsi" w:eastAsiaTheme="minorHAnsi" w:hAnsiTheme="minorHAnsi" w:cstheme="minorHAnsi"/>
        </w:rPr>
      </w:pPr>
      <w:r w:rsidRPr="00182F05">
        <w:rPr>
          <w:rFonts w:asciiTheme="minorHAnsi" w:eastAsiaTheme="minorHAnsi" w:hAnsiTheme="minorHAnsi" w:cstheme="minorHAnsi"/>
        </w:rPr>
        <w:t>Hull has seen infrastructure improvements over the last 20 years</w:t>
      </w:r>
      <w:r w:rsidR="007D3B19" w:rsidRPr="00182F05">
        <w:rPr>
          <w:rFonts w:asciiTheme="minorHAnsi" w:eastAsiaTheme="minorHAnsi" w:hAnsiTheme="minorHAnsi" w:cstheme="minorHAnsi"/>
        </w:rPr>
        <w:t xml:space="preserve"> although road congestion during peak times remains an ongoing issue.</w:t>
      </w:r>
      <w:r w:rsidRPr="00182F05">
        <w:rPr>
          <w:rFonts w:asciiTheme="minorHAnsi" w:eastAsiaTheme="minorHAnsi" w:hAnsiTheme="minorHAnsi" w:cstheme="minorHAnsi"/>
        </w:rPr>
        <w:t xml:space="preserve"> The most significant </w:t>
      </w:r>
      <w:r w:rsidR="007D3B19" w:rsidRPr="00182F05">
        <w:rPr>
          <w:rFonts w:asciiTheme="minorHAnsi" w:eastAsiaTheme="minorHAnsi" w:hAnsiTheme="minorHAnsi" w:cstheme="minorHAnsi"/>
        </w:rPr>
        <w:t xml:space="preserve">development </w:t>
      </w:r>
      <w:r w:rsidRPr="00182F05">
        <w:rPr>
          <w:rFonts w:asciiTheme="minorHAnsi" w:eastAsiaTheme="minorHAnsi" w:hAnsiTheme="minorHAnsi" w:cstheme="minorHAnsi"/>
        </w:rPr>
        <w:t xml:space="preserve">being the </w:t>
      </w:r>
      <w:r w:rsidR="007D3B19" w:rsidRPr="00182F05">
        <w:rPr>
          <w:rFonts w:asciiTheme="minorHAnsi" w:eastAsiaTheme="minorHAnsi" w:hAnsiTheme="minorHAnsi" w:cstheme="minorHAnsi"/>
        </w:rPr>
        <w:t xml:space="preserve">integrated train and </w:t>
      </w:r>
      <w:r w:rsidRPr="00182F05">
        <w:rPr>
          <w:rFonts w:asciiTheme="minorHAnsi" w:eastAsiaTheme="minorHAnsi" w:hAnsiTheme="minorHAnsi" w:cstheme="minorHAnsi"/>
        </w:rPr>
        <w:t xml:space="preserve">bus station at Paragon Interchange </w:t>
      </w:r>
      <w:r w:rsidR="007D3B19" w:rsidRPr="00182F05">
        <w:rPr>
          <w:rFonts w:asciiTheme="minorHAnsi" w:eastAsiaTheme="minorHAnsi" w:hAnsiTheme="minorHAnsi" w:cstheme="minorHAnsi"/>
        </w:rPr>
        <w:t xml:space="preserve">which was developed </w:t>
      </w:r>
      <w:r w:rsidRPr="00182F05">
        <w:rPr>
          <w:rFonts w:asciiTheme="minorHAnsi" w:eastAsiaTheme="minorHAnsi" w:hAnsiTheme="minorHAnsi" w:cstheme="minorHAnsi"/>
        </w:rPr>
        <w:t xml:space="preserve">as part of the St Stephen’s retail development </w:t>
      </w:r>
      <w:r w:rsidR="007D3B19" w:rsidRPr="00182F05">
        <w:rPr>
          <w:rFonts w:asciiTheme="minorHAnsi" w:eastAsiaTheme="minorHAnsi" w:hAnsiTheme="minorHAnsi" w:cstheme="minorHAnsi"/>
        </w:rPr>
        <w:t>in 20</w:t>
      </w:r>
      <w:r w:rsidR="00DA5F93" w:rsidRPr="00182F05">
        <w:rPr>
          <w:rFonts w:asciiTheme="minorHAnsi" w:eastAsiaTheme="minorHAnsi" w:hAnsiTheme="minorHAnsi" w:cstheme="minorHAnsi"/>
        </w:rPr>
        <w:t>0</w:t>
      </w:r>
      <w:r w:rsidR="007D3B19" w:rsidRPr="00182F05">
        <w:rPr>
          <w:rFonts w:asciiTheme="minorHAnsi" w:eastAsiaTheme="minorHAnsi" w:hAnsiTheme="minorHAnsi" w:cstheme="minorHAnsi"/>
        </w:rPr>
        <w:t>7.</w:t>
      </w:r>
      <w:r w:rsidR="00E33658" w:rsidRPr="00182F05">
        <w:rPr>
          <w:rFonts w:asciiTheme="minorHAnsi" w:eastAsiaTheme="minorHAnsi" w:hAnsiTheme="minorHAnsi" w:cstheme="minorHAnsi"/>
        </w:rPr>
        <w:t xml:space="preserve"> The pedestrianisation on King Edward Street was also extended in 2016 to tie it in with the rest of the pedestrianised city centre. </w:t>
      </w:r>
      <w:r w:rsidR="007D3B19" w:rsidRPr="00182F05">
        <w:rPr>
          <w:rFonts w:asciiTheme="minorHAnsi" w:eastAsiaTheme="minorHAnsi" w:hAnsiTheme="minorHAnsi" w:cstheme="minorHAnsi"/>
        </w:rPr>
        <w:t>Another improvement has been the opening of a footbridge over the River Hull</w:t>
      </w:r>
      <w:r w:rsidR="00182F05" w:rsidRPr="00182F05">
        <w:rPr>
          <w:rFonts w:asciiTheme="minorHAnsi" w:eastAsiaTheme="minorHAnsi" w:hAnsiTheme="minorHAnsi" w:cstheme="minorHAnsi"/>
        </w:rPr>
        <w:t xml:space="preserve"> in 2013</w:t>
      </w:r>
      <w:r w:rsidR="007D3B19" w:rsidRPr="00182F05">
        <w:rPr>
          <w:rFonts w:asciiTheme="minorHAnsi" w:eastAsiaTheme="minorHAnsi" w:hAnsiTheme="minorHAnsi" w:cstheme="minorHAnsi"/>
        </w:rPr>
        <w:t>, linking the Old Town with the East Bank, while a new bridge crossing the A63 to link the city centre with Hull Marina open</w:t>
      </w:r>
      <w:r w:rsidR="003F0E1C">
        <w:rPr>
          <w:rFonts w:asciiTheme="minorHAnsi" w:eastAsiaTheme="minorHAnsi" w:hAnsiTheme="minorHAnsi" w:cstheme="minorHAnsi"/>
        </w:rPr>
        <w:t>ed</w:t>
      </w:r>
      <w:r w:rsidR="007D3B19" w:rsidRPr="00182F05">
        <w:rPr>
          <w:rFonts w:asciiTheme="minorHAnsi" w:eastAsiaTheme="minorHAnsi" w:hAnsiTheme="minorHAnsi" w:cstheme="minorHAnsi"/>
        </w:rPr>
        <w:t xml:space="preserve"> </w:t>
      </w:r>
      <w:r w:rsidR="00BD1C1F">
        <w:rPr>
          <w:rFonts w:asciiTheme="minorHAnsi" w:eastAsiaTheme="minorHAnsi" w:hAnsiTheme="minorHAnsi" w:cstheme="minorHAnsi"/>
        </w:rPr>
        <w:t xml:space="preserve">in </w:t>
      </w:r>
      <w:r w:rsidR="007D3B19" w:rsidRPr="00182F05">
        <w:rPr>
          <w:rFonts w:asciiTheme="minorHAnsi" w:eastAsiaTheme="minorHAnsi" w:hAnsiTheme="minorHAnsi" w:cstheme="minorHAnsi"/>
        </w:rPr>
        <w:t>202</w:t>
      </w:r>
      <w:r w:rsidR="00BD1C1F">
        <w:rPr>
          <w:rFonts w:asciiTheme="minorHAnsi" w:eastAsiaTheme="minorHAnsi" w:hAnsiTheme="minorHAnsi" w:cstheme="minorHAnsi"/>
        </w:rPr>
        <w:t>1</w:t>
      </w:r>
      <w:r w:rsidR="007D3B19" w:rsidRPr="00182F05">
        <w:rPr>
          <w:rFonts w:asciiTheme="minorHAnsi" w:eastAsiaTheme="minorHAnsi" w:hAnsiTheme="minorHAnsi" w:cstheme="minorHAnsi"/>
        </w:rPr>
        <w:t xml:space="preserve">. </w:t>
      </w:r>
      <w:r w:rsidR="001576DD" w:rsidRPr="00182F05">
        <w:rPr>
          <w:rFonts w:asciiTheme="minorHAnsi" w:eastAsiaTheme="minorHAnsi" w:hAnsiTheme="minorHAnsi" w:cstheme="minorHAnsi"/>
        </w:rPr>
        <w:t>Hull</w:t>
      </w:r>
      <w:r w:rsidR="007D3B19" w:rsidRPr="00182F05">
        <w:rPr>
          <w:rFonts w:asciiTheme="minorHAnsi" w:eastAsiaTheme="minorHAnsi" w:hAnsiTheme="minorHAnsi" w:cstheme="minorHAnsi"/>
        </w:rPr>
        <w:t xml:space="preserve"> City Council also plan to upgrade the A63 to improve the road network around the city centre and </w:t>
      </w:r>
      <w:r w:rsidR="0035211E" w:rsidRPr="00182F05">
        <w:rPr>
          <w:rFonts w:asciiTheme="minorHAnsi" w:eastAsiaTheme="minorHAnsi" w:hAnsiTheme="minorHAnsi" w:cstheme="minorHAnsi"/>
        </w:rPr>
        <w:t>p</w:t>
      </w:r>
      <w:r w:rsidR="007D3B19" w:rsidRPr="00182F05">
        <w:rPr>
          <w:rFonts w:asciiTheme="minorHAnsi" w:eastAsiaTheme="minorHAnsi" w:hAnsiTheme="minorHAnsi" w:cstheme="minorHAnsi"/>
        </w:rPr>
        <w:t>ort area.</w:t>
      </w:r>
    </w:p>
    <w:p w14:paraId="127EE8E9" w14:textId="77777777" w:rsidR="007A25CB" w:rsidRPr="0058634B" w:rsidRDefault="007A25CB" w:rsidP="007B011A">
      <w:pPr>
        <w:spacing w:line="360" w:lineRule="auto"/>
        <w:rPr>
          <w:rFonts w:asciiTheme="minorHAnsi" w:eastAsiaTheme="minorHAnsi" w:hAnsiTheme="minorHAnsi" w:cstheme="minorHAnsi"/>
          <w:sz w:val="22"/>
          <w:szCs w:val="22"/>
        </w:rPr>
      </w:pPr>
    </w:p>
    <w:p w14:paraId="1C996B22" w14:textId="1341E806" w:rsidR="002C4DD7" w:rsidRPr="00DB679D" w:rsidRDefault="002C4DD7" w:rsidP="005F2464">
      <w:pPr>
        <w:pStyle w:val="Heading2"/>
        <w:spacing w:before="0" w:line="360" w:lineRule="auto"/>
        <w:rPr>
          <w:rFonts w:asciiTheme="minorHAnsi" w:hAnsiTheme="minorHAnsi" w:cstheme="minorHAnsi"/>
          <w:b/>
          <w:bCs/>
          <w:i/>
          <w:iCs/>
          <w:sz w:val="24"/>
          <w:szCs w:val="24"/>
        </w:rPr>
      </w:pPr>
      <w:r w:rsidRPr="00DB679D">
        <w:rPr>
          <w:rFonts w:asciiTheme="minorHAnsi" w:hAnsiTheme="minorHAnsi" w:cstheme="minorHAnsi"/>
          <w:b/>
          <w:bCs/>
          <w:i/>
          <w:iCs/>
          <w:sz w:val="24"/>
          <w:szCs w:val="24"/>
        </w:rPr>
        <w:lastRenderedPageBreak/>
        <w:t>Liverpool</w:t>
      </w:r>
    </w:p>
    <w:p w14:paraId="2201AD2C" w14:textId="4BB253B3" w:rsidR="00844551" w:rsidRPr="008B0983" w:rsidRDefault="00D212AE" w:rsidP="00D9315F">
      <w:pPr>
        <w:spacing w:line="360" w:lineRule="auto"/>
        <w:jc w:val="both"/>
        <w:rPr>
          <w:rFonts w:asciiTheme="minorHAnsi" w:eastAsiaTheme="minorHAnsi" w:hAnsiTheme="minorHAnsi" w:cstheme="minorHAnsi"/>
        </w:rPr>
      </w:pPr>
      <w:r w:rsidRPr="00182F05">
        <w:rPr>
          <w:rFonts w:asciiTheme="minorHAnsi" w:eastAsiaTheme="minorHAnsi" w:hAnsiTheme="minorHAnsi" w:cstheme="minorHAnsi"/>
        </w:rPr>
        <w:t>Liverpool is the principal retail</w:t>
      </w:r>
      <w:r w:rsidR="00DB679D">
        <w:rPr>
          <w:rFonts w:asciiTheme="minorHAnsi" w:eastAsiaTheme="minorHAnsi" w:hAnsiTheme="minorHAnsi" w:cstheme="minorHAnsi"/>
        </w:rPr>
        <w:t>ing</w:t>
      </w:r>
      <w:r w:rsidRPr="00182F05">
        <w:rPr>
          <w:rFonts w:asciiTheme="minorHAnsi" w:eastAsiaTheme="minorHAnsi" w:hAnsiTheme="minorHAnsi" w:cstheme="minorHAnsi"/>
        </w:rPr>
        <w:t xml:space="preserve"> centre serving Merseyside. It is the second largest city in the </w:t>
      </w:r>
      <w:r w:rsidR="005F2464" w:rsidRPr="00182F05">
        <w:rPr>
          <w:rFonts w:asciiTheme="minorHAnsi" w:eastAsiaTheme="minorHAnsi" w:hAnsiTheme="minorHAnsi" w:cstheme="minorHAnsi"/>
        </w:rPr>
        <w:t>northwest</w:t>
      </w:r>
      <w:r w:rsidRPr="00182F05">
        <w:rPr>
          <w:rFonts w:asciiTheme="minorHAnsi" w:eastAsiaTheme="minorHAnsi" w:hAnsiTheme="minorHAnsi" w:cstheme="minorHAnsi"/>
        </w:rPr>
        <w:t xml:space="preserve"> of England with Manchester, the largest, only 34 miles away from Liverpool. </w:t>
      </w:r>
      <w:r w:rsidR="00844551" w:rsidRPr="00182F05">
        <w:rPr>
          <w:rFonts w:asciiTheme="minorHAnsi" w:eastAsiaTheme="minorHAnsi" w:hAnsiTheme="minorHAnsi" w:cstheme="minorHAnsi"/>
        </w:rPr>
        <w:t xml:space="preserve">The resident population living in Liverpool was 491,500 in 2017, </w:t>
      </w:r>
      <w:r w:rsidR="0035211E" w:rsidRPr="00182F05">
        <w:rPr>
          <w:rFonts w:asciiTheme="minorHAnsi" w:eastAsiaTheme="minorHAnsi" w:hAnsiTheme="minorHAnsi" w:cstheme="minorHAnsi"/>
        </w:rPr>
        <w:t xml:space="preserve">having </w:t>
      </w:r>
      <w:r w:rsidR="00844551" w:rsidRPr="00182F05">
        <w:rPr>
          <w:rFonts w:asciiTheme="minorHAnsi" w:eastAsiaTheme="minorHAnsi" w:hAnsiTheme="minorHAnsi" w:cstheme="minorHAnsi"/>
        </w:rPr>
        <w:t>grown by 10.2% over the study period (</w:t>
      </w:r>
      <w:proofErr w:type="spellStart"/>
      <w:r w:rsidR="00844551" w:rsidRPr="00182F05">
        <w:rPr>
          <w:rFonts w:asciiTheme="minorHAnsi" w:eastAsiaTheme="minorHAnsi" w:hAnsiTheme="minorHAnsi" w:cstheme="minorHAnsi"/>
        </w:rPr>
        <w:t>nomis</w:t>
      </w:r>
      <w:proofErr w:type="spellEnd"/>
      <w:r w:rsidR="00844551" w:rsidRPr="00182F05">
        <w:rPr>
          <w:rFonts w:asciiTheme="minorHAnsi" w:eastAsiaTheme="minorHAnsi" w:hAnsiTheme="minorHAnsi" w:cstheme="minorHAnsi"/>
        </w:rPr>
        <w:t>, 2020).</w:t>
      </w:r>
      <w:r w:rsidR="00073091" w:rsidRPr="00182F05">
        <w:rPr>
          <w:rFonts w:asciiTheme="minorHAnsi" w:eastAsiaTheme="minorHAnsi" w:hAnsiTheme="minorHAnsi" w:cstheme="minorHAnsi"/>
        </w:rPr>
        <w:t xml:space="preserve"> </w:t>
      </w:r>
      <w:r w:rsidR="00400C41" w:rsidRPr="00182F05">
        <w:rPr>
          <w:rFonts w:asciiTheme="minorHAnsi" w:eastAsiaTheme="minorHAnsi" w:hAnsiTheme="minorHAnsi" w:cstheme="minorHAnsi"/>
        </w:rPr>
        <w:t xml:space="preserve">Liverpool with three universities - University of Liverpool, John Moore University and Liverpool Hope University – has a large student population living in the city. The number, estimated at 29,060 in 2017, had </w:t>
      </w:r>
      <w:r w:rsidR="00400C41" w:rsidRPr="008B0983">
        <w:rPr>
          <w:rFonts w:asciiTheme="minorHAnsi" w:eastAsiaTheme="minorHAnsi" w:hAnsiTheme="minorHAnsi" w:cstheme="minorHAnsi"/>
        </w:rPr>
        <w:t>doubled since 2006 (Jackson, 2018)</w:t>
      </w:r>
      <w:r w:rsidR="00182F05" w:rsidRPr="008B0983">
        <w:rPr>
          <w:rFonts w:asciiTheme="minorHAnsi" w:eastAsiaTheme="minorHAnsi" w:hAnsiTheme="minorHAnsi" w:cstheme="minorHAnsi"/>
        </w:rPr>
        <w:t>.</w:t>
      </w:r>
    </w:p>
    <w:p w14:paraId="5606BE18" w14:textId="77777777" w:rsidR="00844551" w:rsidRPr="008B0983" w:rsidRDefault="00844551" w:rsidP="00D9315F">
      <w:pPr>
        <w:spacing w:line="360" w:lineRule="auto"/>
        <w:jc w:val="both"/>
        <w:rPr>
          <w:rFonts w:asciiTheme="minorHAnsi" w:eastAsiaTheme="minorHAnsi" w:hAnsiTheme="minorHAnsi" w:cstheme="minorHAnsi"/>
        </w:rPr>
      </w:pPr>
    </w:p>
    <w:p w14:paraId="2E83F727" w14:textId="568E10C4" w:rsidR="00D9315F" w:rsidRPr="00D9315F" w:rsidRDefault="00D9315F" w:rsidP="00F345D5">
      <w:pPr>
        <w:spacing w:line="360" w:lineRule="auto"/>
        <w:rPr>
          <w:rFonts w:asciiTheme="minorHAnsi" w:eastAsiaTheme="minorHAnsi" w:hAnsiTheme="minorHAnsi" w:cstheme="minorHAnsi"/>
          <w:b/>
          <w:bCs/>
          <w:sz w:val="22"/>
          <w:szCs w:val="22"/>
        </w:rPr>
      </w:pPr>
      <w:r w:rsidRPr="00D520EF">
        <w:rPr>
          <w:rFonts w:asciiTheme="minorHAnsi" w:eastAsiaTheme="minorHAnsi" w:hAnsiTheme="minorHAnsi" w:cstheme="minorHAnsi"/>
          <w:b/>
          <w:bCs/>
          <w:sz w:val="22"/>
          <w:szCs w:val="22"/>
        </w:rPr>
        <w:t xml:space="preserve">Table </w:t>
      </w:r>
      <w:r w:rsidR="00177139">
        <w:rPr>
          <w:rFonts w:asciiTheme="minorHAnsi" w:eastAsiaTheme="minorHAnsi" w:hAnsiTheme="minorHAnsi" w:cstheme="minorHAnsi"/>
          <w:b/>
          <w:bCs/>
          <w:sz w:val="22"/>
          <w:szCs w:val="22"/>
        </w:rPr>
        <w:t>4</w:t>
      </w:r>
      <w:r w:rsidRPr="00D520EF">
        <w:rPr>
          <w:rFonts w:asciiTheme="minorHAnsi" w:eastAsiaTheme="minorHAnsi" w:hAnsiTheme="minorHAnsi" w:cstheme="minorHAnsi"/>
          <w:b/>
          <w:bCs/>
          <w:sz w:val="22"/>
          <w:szCs w:val="22"/>
        </w:rPr>
        <w:t xml:space="preserve">.  Retail Floorspace in </w:t>
      </w:r>
      <w:r>
        <w:rPr>
          <w:rFonts w:asciiTheme="minorHAnsi" w:eastAsiaTheme="minorHAnsi" w:hAnsiTheme="minorHAnsi" w:cstheme="minorHAnsi"/>
          <w:b/>
          <w:bCs/>
          <w:sz w:val="22"/>
          <w:szCs w:val="22"/>
        </w:rPr>
        <w:t>Liverpool</w:t>
      </w:r>
    </w:p>
    <w:tbl>
      <w:tblPr>
        <w:tblW w:w="9710" w:type="dxa"/>
        <w:tblBorders>
          <w:top w:val="single" w:sz="18" w:space="0" w:color="auto"/>
          <w:left w:val="single" w:sz="18" w:space="0" w:color="auto"/>
          <w:bottom w:val="single" w:sz="18" w:space="0" w:color="auto"/>
          <w:right w:val="single" w:sz="18" w:space="0" w:color="auto"/>
          <w:insideH w:val="dotted" w:sz="4" w:space="0" w:color="auto"/>
          <w:insideV w:val="single" w:sz="4" w:space="0" w:color="auto"/>
        </w:tblBorders>
        <w:tblLook w:val="04A0" w:firstRow="1" w:lastRow="0" w:firstColumn="1" w:lastColumn="0" w:noHBand="0" w:noVBand="1"/>
      </w:tblPr>
      <w:tblGrid>
        <w:gridCol w:w="2561"/>
        <w:gridCol w:w="1326"/>
        <w:gridCol w:w="1385"/>
        <w:gridCol w:w="1455"/>
        <w:gridCol w:w="2983"/>
      </w:tblGrid>
      <w:tr w:rsidR="002C4DD7" w:rsidRPr="00AE050F" w14:paraId="36E2DD3C" w14:textId="77777777" w:rsidTr="001A66EE">
        <w:trPr>
          <w:trHeight w:val="567"/>
        </w:trPr>
        <w:tc>
          <w:tcPr>
            <w:tcW w:w="2561" w:type="dxa"/>
            <w:vMerge w:val="restart"/>
            <w:tcBorders>
              <w:top w:val="triple" w:sz="4" w:space="0" w:color="548DD4" w:themeColor="text2" w:themeTint="99"/>
              <w:left w:val="triple" w:sz="4" w:space="0" w:color="548DD4" w:themeColor="text2" w:themeTint="99"/>
              <w:bottom w:val="single" w:sz="2" w:space="0" w:color="548DD4" w:themeColor="text2" w:themeTint="99"/>
              <w:right w:val="dashSmallGap" w:sz="2" w:space="0" w:color="548DD4" w:themeColor="text2" w:themeTint="99"/>
            </w:tcBorders>
            <w:shd w:val="clear" w:color="auto" w:fill="8DB3E2" w:themeFill="text2" w:themeFillTint="66"/>
            <w:vAlign w:val="center"/>
            <w:hideMark/>
          </w:tcPr>
          <w:p w14:paraId="269D461F" w14:textId="3B9D7B7B" w:rsidR="002C4DD7" w:rsidRPr="00AE050F" w:rsidRDefault="00CA69F3" w:rsidP="00B15FBD">
            <w:pPr>
              <w:ind w:firstLine="142"/>
              <w:jc w:val="center"/>
              <w:rPr>
                <w:rFonts w:ascii="Calibri" w:hAnsi="Calibri"/>
                <w:b/>
                <w:bCs/>
                <w:color w:val="000000"/>
                <w:sz w:val="22"/>
                <w:szCs w:val="22"/>
              </w:rPr>
            </w:pPr>
            <w:r>
              <w:rPr>
                <w:rFonts w:ascii="Calibri" w:hAnsi="Calibri"/>
                <w:b/>
                <w:bCs/>
                <w:color w:val="000000"/>
                <w:sz w:val="22"/>
                <w:szCs w:val="22"/>
              </w:rPr>
              <w:t>Type of Floorspace</w:t>
            </w:r>
          </w:p>
        </w:tc>
        <w:tc>
          <w:tcPr>
            <w:tcW w:w="1326" w:type="dxa"/>
            <w:vMerge w:val="restart"/>
            <w:tcBorders>
              <w:top w:val="triple" w:sz="4" w:space="0" w:color="548DD4" w:themeColor="text2" w:themeTint="99"/>
              <w:left w:val="dashSmallGap" w:sz="2" w:space="0" w:color="548DD4" w:themeColor="text2" w:themeTint="99"/>
              <w:bottom w:val="single" w:sz="2" w:space="0" w:color="548DD4" w:themeColor="text2" w:themeTint="99"/>
              <w:right w:val="dashSmallGap" w:sz="2" w:space="0" w:color="548DD4" w:themeColor="text2" w:themeTint="99"/>
            </w:tcBorders>
            <w:shd w:val="clear" w:color="auto" w:fill="8DB3E2" w:themeFill="text2" w:themeFillTint="66"/>
            <w:vAlign w:val="center"/>
            <w:hideMark/>
          </w:tcPr>
          <w:p w14:paraId="7A97EC93" w14:textId="77777777" w:rsidR="002C4DD7" w:rsidRPr="00AE050F" w:rsidRDefault="002C4DD7" w:rsidP="00B15FBD">
            <w:pPr>
              <w:ind w:firstLine="142"/>
              <w:jc w:val="center"/>
              <w:rPr>
                <w:rFonts w:ascii="Calibri" w:hAnsi="Calibri"/>
                <w:b/>
                <w:bCs/>
                <w:color w:val="000000"/>
                <w:sz w:val="22"/>
                <w:szCs w:val="22"/>
              </w:rPr>
            </w:pPr>
            <w:r w:rsidRPr="00AE050F">
              <w:rPr>
                <w:rFonts w:ascii="Calibri" w:hAnsi="Calibri"/>
                <w:b/>
                <w:bCs/>
                <w:color w:val="000000"/>
                <w:sz w:val="22"/>
                <w:szCs w:val="22"/>
              </w:rPr>
              <w:t>Estimated Floor Area</w:t>
            </w:r>
          </w:p>
        </w:tc>
        <w:tc>
          <w:tcPr>
            <w:tcW w:w="1385" w:type="dxa"/>
            <w:vMerge w:val="restart"/>
            <w:tcBorders>
              <w:top w:val="triple" w:sz="4" w:space="0" w:color="548DD4" w:themeColor="text2" w:themeTint="99"/>
              <w:left w:val="dashSmallGap" w:sz="2" w:space="0" w:color="548DD4" w:themeColor="text2" w:themeTint="99"/>
              <w:bottom w:val="single" w:sz="2" w:space="0" w:color="548DD4" w:themeColor="text2" w:themeTint="99"/>
              <w:right w:val="dashSmallGap" w:sz="2" w:space="0" w:color="548DD4" w:themeColor="text2" w:themeTint="99"/>
            </w:tcBorders>
            <w:shd w:val="clear" w:color="auto" w:fill="8DB3E2" w:themeFill="text2" w:themeFillTint="66"/>
            <w:vAlign w:val="center"/>
            <w:hideMark/>
          </w:tcPr>
          <w:p w14:paraId="315BB106" w14:textId="0D7BB91D" w:rsidR="002C4DD7" w:rsidRPr="00AE050F" w:rsidRDefault="002C4DD7" w:rsidP="00B15FBD">
            <w:pPr>
              <w:ind w:firstLine="142"/>
              <w:jc w:val="center"/>
              <w:rPr>
                <w:rFonts w:ascii="Calibri" w:hAnsi="Calibri"/>
                <w:b/>
                <w:bCs/>
                <w:color w:val="000000"/>
                <w:sz w:val="22"/>
                <w:szCs w:val="22"/>
              </w:rPr>
            </w:pPr>
            <w:r w:rsidRPr="00AE050F">
              <w:rPr>
                <w:rFonts w:ascii="Calibri" w:hAnsi="Calibri" w:cstheme="minorHAnsi"/>
                <w:b/>
                <w:bCs/>
                <w:color w:val="000000"/>
                <w:sz w:val="22"/>
                <w:szCs w:val="22"/>
              </w:rPr>
              <w:t xml:space="preserve">2017/18 </w:t>
            </w:r>
            <w:r w:rsidR="001A66EE">
              <w:rPr>
                <w:rFonts w:ascii="Calibri" w:hAnsi="Calibri" w:cstheme="minorHAnsi"/>
                <w:b/>
                <w:bCs/>
                <w:color w:val="000000"/>
                <w:sz w:val="22"/>
                <w:szCs w:val="22"/>
              </w:rPr>
              <w:t>S</w:t>
            </w:r>
            <w:r w:rsidRPr="00AE050F">
              <w:rPr>
                <w:rFonts w:ascii="Calibri" w:hAnsi="Calibri" w:cstheme="minorHAnsi"/>
                <w:b/>
                <w:bCs/>
                <w:color w:val="000000"/>
                <w:sz w:val="22"/>
                <w:szCs w:val="22"/>
              </w:rPr>
              <w:t xml:space="preserve">ize </w:t>
            </w:r>
            <w:r w:rsidR="001A66EE">
              <w:rPr>
                <w:rFonts w:ascii="Calibri" w:hAnsi="Calibri" w:cstheme="minorHAnsi"/>
                <w:b/>
                <w:bCs/>
                <w:color w:val="000000"/>
                <w:sz w:val="22"/>
                <w:szCs w:val="22"/>
              </w:rPr>
              <w:t>(</w:t>
            </w:r>
            <w:r w:rsidRPr="00AE050F">
              <w:rPr>
                <w:rFonts w:ascii="Calibri" w:hAnsi="Calibri" w:cstheme="minorHAnsi"/>
                <w:b/>
                <w:bCs/>
                <w:color w:val="000000"/>
                <w:sz w:val="22"/>
                <w:szCs w:val="22"/>
              </w:rPr>
              <w:t>square metre</w:t>
            </w:r>
            <w:r w:rsidR="001A66EE">
              <w:rPr>
                <w:rFonts w:ascii="Calibri" w:hAnsi="Calibri" w:cstheme="minorHAnsi"/>
                <w:b/>
                <w:bCs/>
                <w:color w:val="000000"/>
                <w:sz w:val="22"/>
                <w:szCs w:val="22"/>
              </w:rPr>
              <w:t>)</w:t>
            </w:r>
          </w:p>
        </w:tc>
        <w:tc>
          <w:tcPr>
            <w:tcW w:w="1455" w:type="dxa"/>
            <w:vMerge w:val="restart"/>
            <w:tcBorders>
              <w:top w:val="triple" w:sz="4" w:space="0" w:color="548DD4" w:themeColor="text2" w:themeTint="99"/>
              <w:left w:val="dashSmallGap" w:sz="2" w:space="0" w:color="548DD4" w:themeColor="text2" w:themeTint="99"/>
              <w:bottom w:val="single" w:sz="2" w:space="0" w:color="548DD4" w:themeColor="text2" w:themeTint="99"/>
              <w:right w:val="dashSmallGap" w:sz="2" w:space="0" w:color="548DD4" w:themeColor="text2" w:themeTint="99"/>
            </w:tcBorders>
            <w:shd w:val="clear" w:color="auto" w:fill="8DB3E2" w:themeFill="text2" w:themeFillTint="66"/>
            <w:vAlign w:val="center"/>
            <w:hideMark/>
          </w:tcPr>
          <w:p w14:paraId="25A30321" w14:textId="6A9DBA55" w:rsidR="002C4DD7" w:rsidRPr="00AE050F" w:rsidRDefault="00CA69F3" w:rsidP="00B15FBD">
            <w:pPr>
              <w:ind w:firstLine="142"/>
              <w:jc w:val="center"/>
              <w:rPr>
                <w:rFonts w:ascii="Calibri" w:hAnsi="Calibri"/>
                <w:b/>
                <w:bCs/>
                <w:color w:val="000000"/>
                <w:sz w:val="22"/>
                <w:szCs w:val="22"/>
              </w:rPr>
            </w:pPr>
            <w:r>
              <w:rPr>
                <w:rFonts w:ascii="Calibri" w:hAnsi="Calibri" w:cstheme="minorHAnsi"/>
                <w:b/>
                <w:bCs/>
                <w:color w:val="000000"/>
                <w:sz w:val="22"/>
                <w:szCs w:val="22"/>
              </w:rPr>
              <w:t xml:space="preserve">Mall </w:t>
            </w:r>
            <w:r w:rsidR="001A66EE">
              <w:rPr>
                <w:rFonts w:ascii="Calibri" w:hAnsi="Calibri" w:cstheme="minorHAnsi"/>
                <w:b/>
                <w:bCs/>
                <w:color w:val="000000"/>
                <w:sz w:val="22"/>
                <w:szCs w:val="22"/>
              </w:rPr>
              <w:t>O</w:t>
            </w:r>
            <w:r w:rsidR="002C4DD7" w:rsidRPr="00AE050F">
              <w:rPr>
                <w:rFonts w:ascii="Calibri" w:hAnsi="Calibri" w:cstheme="minorHAnsi"/>
                <w:b/>
                <w:bCs/>
                <w:color w:val="000000"/>
                <w:sz w:val="22"/>
                <w:szCs w:val="22"/>
              </w:rPr>
              <w:t>pening</w:t>
            </w:r>
          </w:p>
        </w:tc>
        <w:tc>
          <w:tcPr>
            <w:tcW w:w="2983" w:type="dxa"/>
            <w:vMerge w:val="restart"/>
            <w:tcBorders>
              <w:top w:val="triple" w:sz="4" w:space="0" w:color="548DD4" w:themeColor="text2" w:themeTint="99"/>
              <w:left w:val="dashSmallGap" w:sz="2" w:space="0" w:color="548DD4" w:themeColor="text2" w:themeTint="99"/>
              <w:bottom w:val="single" w:sz="2" w:space="0" w:color="548DD4" w:themeColor="text2" w:themeTint="99"/>
              <w:right w:val="triple" w:sz="4" w:space="0" w:color="548DD4" w:themeColor="text2" w:themeTint="99"/>
            </w:tcBorders>
            <w:shd w:val="clear" w:color="auto" w:fill="8DB3E2" w:themeFill="text2" w:themeFillTint="66"/>
            <w:vAlign w:val="center"/>
            <w:hideMark/>
          </w:tcPr>
          <w:p w14:paraId="79BBDB8E" w14:textId="77777777" w:rsidR="002C4DD7" w:rsidRPr="00AE050F" w:rsidRDefault="002C4DD7" w:rsidP="00B15FBD">
            <w:pPr>
              <w:ind w:firstLine="142"/>
              <w:jc w:val="center"/>
              <w:rPr>
                <w:rFonts w:ascii="Calibri" w:hAnsi="Calibri"/>
                <w:b/>
                <w:bCs/>
                <w:color w:val="000000"/>
                <w:sz w:val="22"/>
                <w:szCs w:val="22"/>
              </w:rPr>
            </w:pPr>
            <w:r w:rsidRPr="00AE050F">
              <w:rPr>
                <w:rFonts w:ascii="Calibri" w:hAnsi="Calibri"/>
                <w:b/>
                <w:bCs/>
                <w:color w:val="000000"/>
                <w:sz w:val="22"/>
                <w:szCs w:val="22"/>
              </w:rPr>
              <w:t>Refurbishment/Extension</w:t>
            </w:r>
          </w:p>
        </w:tc>
      </w:tr>
      <w:tr w:rsidR="002C4DD7" w:rsidRPr="00AE050F" w14:paraId="06CEF22A" w14:textId="77777777" w:rsidTr="001A66EE">
        <w:trPr>
          <w:trHeight w:val="517"/>
        </w:trPr>
        <w:tc>
          <w:tcPr>
            <w:tcW w:w="2561" w:type="dxa"/>
            <w:vMerge/>
            <w:tcBorders>
              <w:top w:val="dashSmallGap" w:sz="2" w:space="0" w:color="548DD4" w:themeColor="text2" w:themeTint="99"/>
              <w:left w:val="triple" w:sz="4" w:space="0" w:color="548DD4" w:themeColor="text2" w:themeTint="99"/>
              <w:bottom w:val="single" w:sz="2" w:space="0" w:color="548DD4" w:themeColor="text2" w:themeTint="99"/>
              <w:right w:val="dashSmallGap" w:sz="2" w:space="0" w:color="548DD4" w:themeColor="text2" w:themeTint="99"/>
            </w:tcBorders>
            <w:shd w:val="clear" w:color="auto" w:fill="8DB3E2" w:themeFill="text2" w:themeFillTint="66"/>
            <w:vAlign w:val="center"/>
            <w:hideMark/>
          </w:tcPr>
          <w:p w14:paraId="384E0A02" w14:textId="77777777" w:rsidR="002C4DD7" w:rsidRPr="00AE050F" w:rsidRDefault="002C4DD7" w:rsidP="00B15FBD">
            <w:pPr>
              <w:ind w:firstLine="142"/>
              <w:rPr>
                <w:rFonts w:ascii="Calibri" w:hAnsi="Calibri"/>
                <w:b/>
                <w:bCs/>
                <w:color w:val="000000"/>
                <w:sz w:val="22"/>
                <w:szCs w:val="22"/>
              </w:rPr>
            </w:pPr>
          </w:p>
        </w:tc>
        <w:tc>
          <w:tcPr>
            <w:tcW w:w="1326" w:type="dxa"/>
            <w:vMerge/>
            <w:tcBorders>
              <w:top w:val="dashSmallGap" w:sz="2" w:space="0" w:color="548DD4" w:themeColor="text2" w:themeTint="99"/>
              <w:left w:val="dashSmallGap" w:sz="2" w:space="0" w:color="548DD4" w:themeColor="text2" w:themeTint="99"/>
              <w:bottom w:val="single" w:sz="2" w:space="0" w:color="548DD4" w:themeColor="text2" w:themeTint="99"/>
              <w:right w:val="dashSmallGap" w:sz="2" w:space="0" w:color="548DD4" w:themeColor="text2" w:themeTint="99"/>
            </w:tcBorders>
            <w:shd w:val="clear" w:color="auto" w:fill="8DB3E2" w:themeFill="text2" w:themeFillTint="66"/>
            <w:vAlign w:val="center"/>
            <w:hideMark/>
          </w:tcPr>
          <w:p w14:paraId="24E2C5F2" w14:textId="77777777" w:rsidR="002C4DD7" w:rsidRPr="00AE050F" w:rsidRDefault="002C4DD7" w:rsidP="00B15FBD">
            <w:pPr>
              <w:ind w:firstLine="142"/>
              <w:jc w:val="center"/>
              <w:rPr>
                <w:rFonts w:ascii="Calibri" w:hAnsi="Calibri"/>
                <w:b/>
                <w:bCs/>
                <w:color w:val="000000"/>
                <w:sz w:val="22"/>
                <w:szCs w:val="22"/>
              </w:rPr>
            </w:pPr>
          </w:p>
        </w:tc>
        <w:tc>
          <w:tcPr>
            <w:tcW w:w="1385" w:type="dxa"/>
            <w:vMerge/>
            <w:tcBorders>
              <w:top w:val="dashSmallGap" w:sz="2" w:space="0" w:color="548DD4" w:themeColor="text2" w:themeTint="99"/>
              <w:left w:val="dashSmallGap" w:sz="2" w:space="0" w:color="548DD4" w:themeColor="text2" w:themeTint="99"/>
              <w:bottom w:val="single" w:sz="2" w:space="0" w:color="548DD4" w:themeColor="text2" w:themeTint="99"/>
              <w:right w:val="dashSmallGap" w:sz="2" w:space="0" w:color="548DD4" w:themeColor="text2" w:themeTint="99"/>
            </w:tcBorders>
            <w:shd w:val="clear" w:color="auto" w:fill="8DB3E2" w:themeFill="text2" w:themeFillTint="66"/>
            <w:vAlign w:val="center"/>
            <w:hideMark/>
          </w:tcPr>
          <w:p w14:paraId="2AD098E0" w14:textId="77777777" w:rsidR="002C4DD7" w:rsidRPr="00AE050F" w:rsidRDefault="002C4DD7" w:rsidP="00B15FBD">
            <w:pPr>
              <w:ind w:firstLine="142"/>
              <w:rPr>
                <w:rFonts w:ascii="Calibri" w:hAnsi="Calibri"/>
                <w:b/>
                <w:bCs/>
                <w:color w:val="000000"/>
                <w:sz w:val="22"/>
                <w:szCs w:val="22"/>
              </w:rPr>
            </w:pPr>
          </w:p>
        </w:tc>
        <w:tc>
          <w:tcPr>
            <w:tcW w:w="1455" w:type="dxa"/>
            <w:vMerge/>
            <w:tcBorders>
              <w:top w:val="dashSmallGap" w:sz="2" w:space="0" w:color="548DD4" w:themeColor="text2" w:themeTint="99"/>
              <w:left w:val="dashSmallGap" w:sz="2" w:space="0" w:color="548DD4" w:themeColor="text2" w:themeTint="99"/>
              <w:bottom w:val="single" w:sz="2" w:space="0" w:color="548DD4" w:themeColor="text2" w:themeTint="99"/>
              <w:right w:val="dashSmallGap" w:sz="2" w:space="0" w:color="548DD4" w:themeColor="text2" w:themeTint="99"/>
            </w:tcBorders>
            <w:shd w:val="clear" w:color="auto" w:fill="8DB3E2" w:themeFill="text2" w:themeFillTint="66"/>
            <w:vAlign w:val="center"/>
            <w:hideMark/>
          </w:tcPr>
          <w:p w14:paraId="1F85998D" w14:textId="77777777" w:rsidR="002C4DD7" w:rsidRPr="00AE050F" w:rsidRDefault="002C4DD7" w:rsidP="00B15FBD">
            <w:pPr>
              <w:ind w:firstLine="142"/>
              <w:rPr>
                <w:rFonts w:ascii="Calibri" w:hAnsi="Calibri"/>
                <w:b/>
                <w:bCs/>
                <w:color w:val="000000"/>
                <w:sz w:val="22"/>
                <w:szCs w:val="22"/>
              </w:rPr>
            </w:pPr>
          </w:p>
        </w:tc>
        <w:tc>
          <w:tcPr>
            <w:tcW w:w="2983" w:type="dxa"/>
            <w:vMerge/>
            <w:tcBorders>
              <w:top w:val="dashSmallGap" w:sz="2" w:space="0" w:color="548DD4" w:themeColor="text2" w:themeTint="99"/>
              <w:left w:val="dashSmallGap" w:sz="2" w:space="0" w:color="548DD4" w:themeColor="text2" w:themeTint="99"/>
              <w:bottom w:val="single" w:sz="2" w:space="0" w:color="548DD4" w:themeColor="text2" w:themeTint="99"/>
              <w:right w:val="triple" w:sz="4" w:space="0" w:color="548DD4" w:themeColor="text2" w:themeTint="99"/>
            </w:tcBorders>
            <w:shd w:val="clear" w:color="auto" w:fill="8DB3E2" w:themeFill="text2" w:themeFillTint="66"/>
            <w:vAlign w:val="center"/>
            <w:hideMark/>
          </w:tcPr>
          <w:p w14:paraId="63607755" w14:textId="77777777" w:rsidR="002C4DD7" w:rsidRPr="00AE050F" w:rsidRDefault="002C4DD7" w:rsidP="00B15FBD">
            <w:pPr>
              <w:ind w:firstLine="142"/>
              <w:rPr>
                <w:rFonts w:ascii="Calibri" w:hAnsi="Calibri"/>
                <w:b/>
                <w:bCs/>
                <w:color w:val="000000"/>
                <w:sz w:val="22"/>
                <w:szCs w:val="22"/>
              </w:rPr>
            </w:pPr>
          </w:p>
        </w:tc>
      </w:tr>
      <w:tr w:rsidR="002C4DD7" w:rsidRPr="00AE050F" w14:paraId="746D28FF" w14:textId="77777777" w:rsidTr="001A66EE">
        <w:trPr>
          <w:trHeight w:val="340"/>
        </w:trPr>
        <w:tc>
          <w:tcPr>
            <w:tcW w:w="9710" w:type="dxa"/>
            <w:gridSpan w:val="5"/>
            <w:tcBorders>
              <w:top w:val="single" w:sz="2" w:space="0" w:color="548DD4" w:themeColor="text2" w:themeTint="99"/>
              <w:left w:val="triple" w:sz="4" w:space="0" w:color="548DD4" w:themeColor="text2" w:themeTint="99"/>
              <w:bottom w:val="single" w:sz="4" w:space="0" w:color="548DD4" w:themeColor="text2" w:themeTint="99"/>
              <w:right w:val="triple" w:sz="4" w:space="0" w:color="548DD4" w:themeColor="text2" w:themeTint="99"/>
            </w:tcBorders>
            <w:shd w:val="clear" w:color="auto" w:fill="auto"/>
            <w:vAlign w:val="center"/>
            <w:hideMark/>
          </w:tcPr>
          <w:p w14:paraId="4C2CF984" w14:textId="77777777" w:rsidR="002C4DD7" w:rsidRPr="00AE050F" w:rsidRDefault="002C4DD7" w:rsidP="00B15FBD">
            <w:pPr>
              <w:ind w:firstLine="142"/>
              <w:jc w:val="center"/>
              <w:rPr>
                <w:rFonts w:ascii="Calibri" w:hAnsi="Calibri"/>
                <w:b/>
                <w:bCs/>
                <w:color w:val="000000"/>
                <w:sz w:val="20"/>
                <w:szCs w:val="20"/>
              </w:rPr>
            </w:pPr>
            <w:r w:rsidRPr="00AE050F">
              <w:rPr>
                <w:rFonts w:ascii="Calibri" w:hAnsi="Calibri" w:cstheme="minorHAnsi"/>
                <w:b/>
                <w:bCs/>
                <w:color w:val="000000"/>
                <w:sz w:val="20"/>
                <w:szCs w:val="20"/>
              </w:rPr>
              <w:t>Major Regional Centre</w:t>
            </w:r>
            <w:r>
              <w:rPr>
                <w:rFonts w:ascii="Calibri" w:hAnsi="Calibri" w:cstheme="minorHAnsi"/>
                <w:b/>
                <w:bCs/>
                <w:color w:val="000000"/>
                <w:sz w:val="20"/>
                <w:szCs w:val="20"/>
              </w:rPr>
              <w:t xml:space="preserve"> – Liverpool</w:t>
            </w:r>
          </w:p>
        </w:tc>
      </w:tr>
      <w:tr w:rsidR="002C4DD7" w:rsidRPr="00AE050F" w14:paraId="23C96EF9" w14:textId="77777777" w:rsidTr="001A66EE">
        <w:trPr>
          <w:trHeight w:val="320"/>
        </w:trPr>
        <w:tc>
          <w:tcPr>
            <w:tcW w:w="2561" w:type="dxa"/>
            <w:tcBorders>
              <w:top w:val="single" w:sz="4" w:space="0" w:color="548DD4" w:themeColor="text2" w:themeTint="99"/>
              <w:left w:val="triple"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1ACABBFF" w14:textId="288E7104" w:rsidR="002C4DD7" w:rsidRPr="00CA69F3" w:rsidRDefault="00CA69F3" w:rsidP="00CA69F3">
            <w:pPr>
              <w:ind w:firstLineChars="9" w:firstLine="20"/>
              <w:rPr>
                <w:rFonts w:ascii="Calibri" w:hAnsi="Calibri"/>
                <w:color w:val="000000"/>
                <w:sz w:val="22"/>
                <w:szCs w:val="22"/>
              </w:rPr>
            </w:pPr>
            <w:r w:rsidRPr="00CA69F3">
              <w:rPr>
                <w:rFonts w:ascii="Calibri" w:hAnsi="Calibri"/>
                <w:color w:val="000000"/>
                <w:sz w:val="22"/>
                <w:szCs w:val="22"/>
              </w:rPr>
              <w:t xml:space="preserve">“High Street” </w:t>
            </w:r>
            <w:r>
              <w:rPr>
                <w:rFonts w:ascii="Calibri" w:hAnsi="Calibri"/>
                <w:color w:val="000000"/>
                <w:sz w:val="22"/>
                <w:szCs w:val="22"/>
              </w:rPr>
              <w:t>u</w:t>
            </w:r>
            <w:r w:rsidRPr="00CA69F3">
              <w:rPr>
                <w:rFonts w:ascii="Calibri" w:hAnsi="Calibri"/>
                <w:color w:val="000000"/>
                <w:sz w:val="22"/>
                <w:szCs w:val="22"/>
              </w:rPr>
              <w:t>nits</w:t>
            </w:r>
          </w:p>
        </w:tc>
        <w:tc>
          <w:tcPr>
            <w:tcW w:w="1326" w:type="dxa"/>
            <w:tcBorders>
              <w:top w:val="single"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6E9AD4C4" w14:textId="77777777" w:rsidR="002C4DD7" w:rsidRPr="00AE050F" w:rsidRDefault="002C4DD7" w:rsidP="00B15FBD">
            <w:pPr>
              <w:ind w:firstLine="142"/>
              <w:jc w:val="center"/>
              <w:rPr>
                <w:rFonts w:ascii="Calibri" w:hAnsi="Calibri"/>
                <w:b/>
                <w:bCs/>
                <w:i/>
                <w:iCs/>
                <w:color w:val="000000"/>
                <w:sz w:val="22"/>
                <w:szCs w:val="22"/>
              </w:rPr>
            </w:pPr>
            <w:r w:rsidRPr="00AE050F">
              <w:rPr>
                <w:rFonts w:ascii="Calibri" w:hAnsi="Calibri"/>
                <w:b/>
                <w:bCs/>
                <w:i/>
                <w:iCs/>
                <w:color w:val="000000"/>
                <w:sz w:val="22"/>
                <w:szCs w:val="22"/>
              </w:rPr>
              <w:t>45,305</w:t>
            </w:r>
          </w:p>
        </w:tc>
        <w:tc>
          <w:tcPr>
            <w:tcW w:w="1385" w:type="dxa"/>
            <w:tcBorders>
              <w:top w:val="single"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noWrap/>
            <w:vAlign w:val="bottom"/>
            <w:hideMark/>
          </w:tcPr>
          <w:p w14:paraId="44E146B5" w14:textId="77777777" w:rsidR="002C4DD7" w:rsidRPr="00AE050F" w:rsidRDefault="002C4DD7" w:rsidP="00B15FBD">
            <w:pPr>
              <w:ind w:firstLine="142"/>
              <w:jc w:val="center"/>
              <w:rPr>
                <w:rFonts w:ascii="Calibri" w:hAnsi="Calibri"/>
                <w:color w:val="000000"/>
                <w:sz w:val="22"/>
                <w:szCs w:val="22"/>
              </w:rPr>
            </w:pPr>
          </w:p>
        </w:tc>
        <w:tc>
          <w:tcPr>
            <w:tcW w:w="1455" w:type="dxa"/>
            <w:tcBorders>
              <w:top w:val="single"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11626FFD" w14:textId="77777777" w:rsidR="002C4DD7" w:rsidRPr="00AE050F" w:rsidRDefault="002C4DD7" w:rsidP="00B15FBD">
            <w:pPr>
              <w:ind w:firstLine="142"/>
              <w:jc w:val="center"/>
              <w:rPr>
                <w:rFonts w:ascii="Calibri" w:hAnsi="Calibri"/>
                <w:b/>
                <w:bCs/>
                <w:i/>
                <w:iCs/>
                <w:color w:val="000000"/>
                <w:sz w:val="22"/>
                <w:szCs w:val="22"/>
              </w:rPr>
            </w:pPr>
          </w:p>
        </w:tc>
        <w:tc>
          <w:tcPr>
            <w:tcW w:w="2983" w:type="dxa"/>
            <w:tcBorders>
              <w:top w:val="single" w:sz="4" w:space="0" w:color="548DD4" w:themeColor="text2" w:themeTint="99"/>
              <w:left w:val="dashSmallGap" w:sz="4" w:space="0" w:color="548DD4" w:themeColor="text2" w:themeTint="99"/>
              <w:bottom w:val="dashSmallGap" w:sz="4" w:space="0" w:color="548DD4" w:themeColor="text2" w:themeTint="99"/>
              <w:right w:val="triple" w:sz="4" w:space="0" w:color="548DD4" w:themeColor="text2" w:themeTint="99"/>
            </w:tcBorders>
            <w:shd w:val="clear" w:color="auto" w:fill="auto"/>
            <w:vAlign w:val="center"/>
            <w:hideMark/>
          </w:tcPr>
          <w:p w14:paraId="086EF569" w14:textId="77777777" w:rsidR="002C4DD7" w:rsidRPr="00AE050F" w:rsidRDefault="002C4DD7" w:rsidP="00B15FBD">
            <w:pPr>
              <w:ind w:firstLine="142"/>
              <w:rPr>
                <w:rFonts w:ascii="Calibri" w:hAnsi="Calibri"/>
                <w:color w:val="000000"/>
                <w:sz w:val="22"/>
                <w:szCs w:val="22"/>
              </w:rPr>
            </w:pPr>
          </w:p>
        </w:tc>
      </w:tr>
      <w:tr w:rsidR="002C4DD7" w:rsidRPr="00AE050F" w14:paraId="3743B0CF" w14:textId="77777777" w:rsidTr="001A66EE">
        <w:trPr>
          <w:trHeight w:val="531"/>
        </w:trPr>
        <w:tc>
          <w:tcPr>
            <w:tcW w:w="2561" w:type="dxa"/>
            <w:tcBorders>
              <w:top w:val="dashSmallGap" w:sz="4" w:space="0" w:color="548DD4" w:themeColor="text2" w:themeTint="99"/>
              <w:left w:val="triple"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01B31848" w14:textId="77777777" w:rsidR="002C4DD7" w:rsidRPr="00AE050F" w:rsidRDefault="002C4DD7" w:rsidP="00CA69F3">
            <w:pPr>
              <w:rPr>
                <w:rFonts w:ascii="Calibri" w:hAnsi="Calibri"/>
                <w:color w:val="000000"/>
                <w:sz w:val="22"/>
                <w:szCs w:val="22"/>
              </w:rPr>
            </w:pPr>
            <w:r w:rsidRPr="00AE050F">
              <w:rPr>
                <w:rFonts w:ascii="Calibri" w:hAnsi="Calibri" w:cstheme="minorHAnsi"/>
                <w:color w:val="000000"/>
                <w:sz w:val="22"/>
                <w:szCs w:val="22"/>
              </w:rPr>
              <w:t>Cavern Walks Centre</w:t>
            </w:r>
          </w:p>
        </w:tc>
        <w:tc>
          <w:tcPr>
            <w:tcW w:w="1326"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noWrap/>
            <w:vAlign w:val="bottom"/>
            <w:hideMark/>
          </w:tcPr>
          <w:p w14:paraId="4EB7431E" w14:textId="77777777" w:rsidR="002C4DD7" w:rsidRPr="00AE050F" w:rsidRDefault="002C4DD7" w:rsidP="00B15FBD">
            <w:pPr>
              <w:ind w:firstLine="142"/>
              <w:jc w:val="center"/>
              <w:rPr>
                <w:rFonts w:ascii="Calibri" w:hAnsi="Calibri"/>
                <w:color w:val="000000"/>
                <w:sz w:val="22"/>
                <w:szCs w:val="22"/>
              </w:rPr>
            </w:pPr>
          </w:p>
        </w:tc>
        <w:tc>
          <w:tcPr>
            <w:tcW w:w="138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6796C23F"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10,219</w:t>
            </w:r>
          </w:p>
        </w:tc>
        <w:tc>
          <w:tcPr>
            <w:tcW w:w="145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1DA6CE65"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1984</w:t>
            </w:r>
          </w:p>
        </w:tc>
        <w:tc>
          <w:tcPr>
            <w:tcW w:w="2983" w:type="dxa"/>
            <w:tcBorders>
              <w:top w:val="dashSmallGap" w:sz="4" w:space="0" w:color="548DD4" w:themeColor="text2" w:themeTint="99"/>
              <w:left w:val="dashSmallGap" w:sz="4" w:space="0" w:color="548DD4" w:themeColor="text2" w:themeTint="99"/>
              <w:bottom w:val="dashSmallGap" w:sz="4" w:space="0" w:color="548DD4" w:themeColor="text2" w:themeTint="99"/>
              <w:right w:val="triple" w:sz="4" w:space="0" w:color="548DD4" w:themeColor="text2" w:themeTint="99"/>
            </w:tcBorders>
            <w:shd w:val="clear" w:color="auto" w:fill="auto"/>
            <w:vAlign w:val="center"/>
            <w:hideMark/>
          </w:tcPr>
          <w:p w14:paraId="2348B490" w14:textId="77777777" w:rsidR="002C4DD7" w:rsidRPr="00AE050F" w:rsidRDefault="002C4DD7" w:rsidP="00B15FBD">
            <w:pPr>
              <w:rPr>
                <w:rFonts w:ascii="Calibri" w:hAnsi="Calibri"/>
                <w:color w:val="000000"/>
                <w:sz w:val="22"/>
                <w:szCs w:val="22"/>
              </w:rPr>
            </w:pPr>
          </w:p>
        </w:tc>
      </w:tr>
      <w:tr w:rsidR="002C4DD7" w:rsidRPr="00AE050F" w14:paraId="7B633952" w14:textId="77777777" w:rsidTr="001A66EE">
        <w:trPr>
          <w:trHeight w:val="320"/>
        </w:trPr>
        <w:tc>
          <w:tcPr>
            <w:tcW w:w="2561" w:type="dxa"/>
            <w:tcBorders>
              <w:top w:val="dashSmallGap" w:sz="4" w:space="0" w:color="548DD4" w:themeColor="text2" w:themeTint="99"/>
              <w:left w:val="triple"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3AE2CD64" w14:textId="77777777" w:rsidR="002C4DD7" w:rsidRPr="00AE050F" w:rsidRDefault="002C4DD7" w:rsidP="00CA69F3">
            <w:pPr>
              <w:rPr>
                <w:rFonts w:ascii="Calibri" w:hAnsi="Calibri"/>
                <w:color w:val="000000"/>
                <w:sz w:val="22"/>
                <w:szCs w:val="22"/>
              </w:rPr>
            </w:pPr>
            <w:r w:rsidRPr="00AE050F">
              <w:rPr>
                <w:rFonts w:ascii="Calibri" w:hAnsi="Calibri" w:cstheme="minorHAnsi"/>
                <w:color w:val="000000"/>
                <w:sz w:val="22"/>
                <w:szCs w:val="22"/>
              </w:rPr>
              <w:t>Central Station</w:t>
            </w:r>
          </w:p>
        </w:tc>
        <w:tc>
          <w:tcPr>
            <w:tcW w:w="1326"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noWrap/>
            <w:vAlign w:val="bottom"/>
            <w:hideMark/>
          </w:tcPr>
          <w:p w14:paraId="29EE4727" w14:textId="77777777" w:rsidR="002C4DD7" w:rsidRPr="00AE050F" w:rsidRDefault="002C4DD7" w:rsidP="00B15FBD">
            <w:pPr>
              <w:ind w:firstLine="142"/>
              <w:jc w:val="center"/>
              <w:rPr>
                <w:rFonts w:ascii="Calibri" w:hAnsi="Calibri"/>
                <w:color w:val="000000"/>
                <w:sz w:val="22"/>
                <w:szCs w:val="22"/>
              </w:rPr>
            </w:pPr>
          </w:p>
        </w:tc>
        <w:tc>
          <w:tcPr>
            <w:tcW w:w="138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352C6422"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7,711</w:t>
            </w:r>
          </w:p>
        </w:tc>
        <w:tc>
          <w:tcPr>
            <w:tcW w:w="145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030A3257"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1984</w:t>
            </w:r>
          </w:p>
        </w:tc>
        <w:tc>
          <w:tcPr>
            <w:tcW w:w="2983" w:type="dxa"/>
            <w:tcBorders>
              <w:top w:val="dashSmallGap" w:sz="4" w:space="0" w:color="548DD4" w:themeColor="text2" w:themeTint="99"/>
              <w:left w:val="dashSmallGap" w:sz="4" w:space="0" w:color="548DD4" w:themeColor="text2" w:themeTint="99"/>
              <w:bottom w:val="dashSmallGap" w:sz="4" w:space="0" w:color="548DD4" w:themeColor="text2" w:themeTint="99"/>
              <w:right w:val="triple" w:sz="4" w:space="0" w:color="548DD4" w:themeColor="text2" w:themeTint="99"/>
            </w:tcBorders>
            <w:shd w:val="clear" w:color="auto" w:fill="auto"/>
            <w:vAlign w:val="center"/>
            <w:hideMark/>
          </w:tcPr>
          <w:p w14:paraId="3939D9BF" w14:textId="77777777" w:rsidR="002C4DD7" w:rsidRPr="00AE050F" w:rsidRDefault="002C4DD7" w:rsidP="00B15FBD">
            <w:pPr>
              <w:rPr>
                <w:rFonts w:ascii="Calibri" w:hAnsi="Calibri"/>
                <w:color w:val="000000"/>
                <w:sz w:val="22"/>
                <w:szCs w:val="22"/>
              </w:rPr>
            </w:pPr>
            <w:r w:rsidRPr="00AE050F">
              <w:rPr>
                <w:rFonts w:ascii="Calibri" w:hAnsi="Calibri"/>
                <w:color w:val="000000"/>
                <w:sz w:val="22"/>
                <w:szCs w:val="22"/>
              </w:rPr>
              <w:t>Major refurbishment 2002</w:t>
            </w:r>
          </w:p>
        </w:tc>
      </w:tr>
      <w:tr w:rsidR="002C4DD7" w:rsidRPr="00AE050F" w14:paraId="007D4BD6" w14:textId="77777777" w:rsidTr="001A66EE">
        <w:trPr>
          <w:trHeight w:val="852"/>
        </w:trPr>
        <w:tc>
          <w:tcPr>
            <w:tcW w:w="2561" w:type="dxa"/>
            <w:tcBorders>
              <w:top w:val="dashSmallGap" w:sz="4" w:space="0" w:color="548DD4" w:themeColor="text2" w:themeTint="99"/>
              <w:left w:val="triple"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289AF3D4" w14:textId="77777777" w:rsidR="002C4DD7" w:rsidRPr="00AE050F" w:rsidRDefault="002C4DD7" w:rsidP="00CA69F3">
            <w:pPr>
              <w:ind w:leftChars="-2" w:left="-5"/>
              <w:rPr>
                <w:rFonts w:ascii="Calibri" w:hAnsi="Calibri"/>
                <w:color w:val="000000"/>
                <w:sz w:val="22"/>
                <w:szCs w:val="22"/>
              </w:rPr>
            </w:pPr>
            <w:r w:rsidRPr="00AE050F">
              <w:rPr>
                <w:rFonts w:ascii="Calibri" w:hAnsi="Calibri" w:cstheme="minorHAnsi"/>
                <w:color w:val="000000"/>
                <w:sz w:val="22"/>
                <w:szCs w:val="22"/>
              </w:rPr>
              <w:t>Clayton Square Centre</w:t>
            </w:r>
          </w:p>
        </w:tc>
        <w:tc>
          <w:tcPr>
            <w:tcW w:w="1326"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noWrap/>
            <w:vAlign w:val="bottom"/>
            <w:hideMark/>
          </w:tcPr>
          <w:p w14:paraId="5B88DB5D" w14:textId="77777777" w:rsidR="002C4DD7" w:rsidRPr="00AE050F" w:rsidRDefault="002C4DD7" w:rsidP="00B15FBD">
            <w:pPr>
              <w:ind w:firstLine="142"/>
              <w:jc w:val="center"/>
              <w:rPr>
                <w:rFonts w:ascii="Calibri" w:hAnsi="Calibri"/>
                <w:color w:val="000000"/>
                <w:sz w:val="22"/>
                <w:szCs w:val="22"/>
              </w:rPr>
            </w:pPr>
          </w:p>
        </w:tc>
        <w:tc>
          <w:tcPr>
            <w:tcW w:w="138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2C546656"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16,000</w:t>
            </w:r>
          </w:p>
        </w:tc>
        <w:tc>
          <w:tcPr>
            <w:tcW w:w="145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3CE6CC21"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1988</w:t>
            </w:r>
          </w:p>
        </w:tc>
        <w:tc>
          <w:tcPr>
            <w:tcW w:w="2983" w:type="dxa"/>
            <w:tcBorders>
              <w:top w:val="dashSmallGap" w:sz="4" w:space="0" w:color="548DD4" w:themeColor="text2" w:themeTint="99"/>
              <w:left w:val="dashSmallGap" w:sz="4" w:space="0" w:color="548DD4" w:themeColor="text2" w:themeTint="99"/>
              <w:bottom w:val="dashSmallGap" w:sz="4" w:space="0" w:color="548DD4" w:themeColor="text2" w:themeTint="99"/>
              <w:right w:val="triple" w:sz="4" w:space="0" w:color="548DD4" w:themeColor="text2" w:themeTint="99"/>
            </w:tcBorders>
            <w:shd w:val="clear" w:color="auto" w:fill="auto"/>
            <w:vAlign w:val="center"/>
            <w:hideMark/>
          </w:tcPr>
          <w:p w14:paraId="4FE29BB7" w14:textId="77777777" w:rsidR="006E187C" w:rsidRDefault="002C4DD7" w:rsidP="00B15FBD">
            <w:pPr>
              <w:rPr>
                <w:rFonts w:ascii="Calibri" w:hAnsi="Calibri"/>
                <w:color w:val="000000"/>
                <w:sz w:val="22"/>
                <w:szCs w:val="22"/>
              </w:rPr>
            </w:pPr>
            <w:r w:rsidRPr="00AE050F">
              <w:rPr>
                <w:rFonts w:ascii="Calibri" w:hAnsi="Calibri"/>
                <w:color w:val="000000"/>
                <w:sz w:val="22"/>
                <w:szCs w:val="22"/>
              </w:rPr>
              <w:t>Refurbished 2014</w:t>
            </w:r>
          </w:p>
          <w:p w14:paraId="705F6232" w14:textId="77777777" w:rsidR="006E187C" w:rsidRDefault="002C4DD7" w:rsidP="00B15FBD">
            <w:pPr>
              <w:rPr>
                <w:rFonts w:ascii="Calibri" w:hAnsi="Calibri"/>
                <w:color w:val="000000"/>
                <w:sz w:val="22"/>
                <w:szCs w:val="22"/>
              </w:rPr>
            </w:pPr>
            <w:r w:rsidRPr="00AE050F">
              <w:rPr>
                <w:rFonts w:ascii="Calibri" w:hAnsi="Calibri"/>
                <w:color w:val="000000"/>
                <w:sz w:val="22"/>
                <w:szCs w:val="22"/>
              </w:rPr>
              <w:t>Extended 2004</w:t>
            </w:r>
          </w:p>
          <w:p w14:paraId="7D31F47D" w14:textId="1E81B091" w:rsidR="002C4DD7" w:rsidRPr="00AE050F" w:rsidRDefault="002C4DD7" w:rsidP="00B15FBD">
            <w:pPr>
              <w:rPr>
                <w:rFonts w:ascii="Calibri" w:hAnsi="Calibri"/>
                <w:color w:val="000000"/>
                <w:sz w:val="22"/>
                <w:szCs w:val="22"/>
              </w:rPr>
            </w:pPr>
            <w:r w:rsidRPr="00AE050F">
              <w:rPr>
                <w:rFonts w:ascii="Calibri" w:hAnsi="Calibri"/>
                <w:color w:val="000000"/>
                <w:sz w:val="22"/>
                <w:szCs w:val="22"/>
              </w:rPr>
              <w:t>Redeveloped 1996</w:t>
            </w:r>
          </w:p>
        </w:tc>
      </w:tr>
      <w:tr w:rsidR="002C4DD7" w:rsidRPr="00AE050F" w14:paraId="0E7DAB63" w14:textId="77777777" w:rsidTr="001A66EE">
        <w:trPr>
          <w:trHeight w:val="585"/>
        </w:trPr>
        <w:tc>
          <w:tcPr>
            <w:tcW w:w="2561" w:type="dxa"/>
            <w:tcBorders>
              <w:top w:val="dashSmallGap" w:sz="4" w:space="0" w:color="548DD4" w:themeColor="text2" w:themeTint="99"/>
              <w:left w:val="triple"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61D2FDEC" w14:textId="77777777" w:rsidR="002C4DD7" w:rsidRPr="00AE050F" w:rsidRDefault="002C4DD7" w:rsidP="00CA69F3">
            <w:pPr>
              <w:rPr>
                <w:rFonts w:ascii="Calibri" w:hAnsi="Calibri"/>
                <w:color w:val="000000"/>
                <w:sz w:val="22"/>
                <w:szCs w:val="22"/>
              </w:rPr>
            </w:pPr>
            <w:r w:rsidRPr="00AE050F">
              <w:rPr>
                <w:rFonts w:ascii="Calibri" w:hAnsi="Calibri" w:cstheme="minorHAnsi"/>
                <w:color w:val="000000"/>
                <w:sz w:val="22"/>
                <w:szCs w:val="22"/>
              </w:rPr>
              <w:t>Liverpool One</w:t>
            </w:r>
          </w:p>
        </w:tc>
        <w:tc>
          <w:tcPr>
            <w:tcW w:w="1326"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noWrap/>
            <w:vAlign w:val="bottom"/>
            <w:hideMark/>
          </w:tcPr>
          <w:p w14:paraId="766434E1" w14:textId="77777777" w:rsidR="002C4DD7" w:rsidRPr="00AE050F" w:rsidRDefault="002C4DD7" w:rsidP="00B15FBD">
            <w:pPr>
              <w:ind w:firstLine="142"/>
              <w:jc w:val="center"/>
              <w:rPr>
                <w:rFonts w:ascii="Calibri" w:hAnsi="Calibri"/>
                <w:color w:val="000000"/>
                <w:sz w:val="22"/>
                <w:szCs w:val="22"/>
              </w:rPr>
            </w:pPr>
          </w:p>
        </w:tc>
        <w:tc>
          <w:tcPr>
            <w:tcW w:w="138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7D4D817D"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152,200</w:t>
            </w:r>
          </w:p>
        </w:tc>
        <w:tc>
          <w:tcPr>
            <w:tcW w:w="145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216D8C07"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2008</w:t>
            </w:r>
          </w:p>
        </w:tc>
        <w:tc>
          <w:tcPr>
            <w:tcW w:w="2983" w:type="dxa"/>
            <w:tcBorders>
              <w:top w:val="dashSmallGap" w:sz="4" w:space="0" w:color="548DD4" w:themeColor="text2" w:themeTint="99"/>
              <w:left w:val="dashSmallGap" w:sz="4" w:space="0" w:color="548DD4" w:themeColor="text2" w:themeTint="99"/>
              <w:bottom w:val="dashSmallGap" w:sz="4" w:space="0" w:color="548DD4" w:themeColor="text2" w:themeTint="99"/>
              <w:right w:val="triple" w:sz="4" w:space="0" w:color="548DD4" w:themeColor="text2" w:themeTint="99"/>
            </w:tcBorders>
            <w:shd w:val="clear" w:color="auto" w:fill="auto"/>
            <w:vAlign w:val="center"/>
            <w:hideMark/>
          </w:tcPr>
          <w:p w14:paraId="29D67550" w14:textId="510FE1E6" w:rsidR="006E187C" w:rsidRDefault="002C4DD7" w:rsidP="00B15FBD">
            <w:pPr>
              <w:rPr>
                <w:rFonts w:ascii="Calibri" w:hAnsi="Calibri"/>
                <w:color w:val="000000"/>
                <w:sz w:val="22"/>
                <w:szCs w:val="22"/>
              </w:rPr>
            </w:pPr>
            <w:r w:rsidRPr="00AE050F">
              <w:rPr>
                <w:rFonts w:ascii="Calibri" w:hAnsi="Calibri"/>
                <w:color w:val="000000"/>
                <w:sz w:val="22"/>
                <w:szCs w:val="22"/>
              </w:rPr>
              <w:t>Extended</w:t>
            </w:r>
            <w:r w:rsidR="00F56624">
              <w:rPr>
                <w:rFonts w:ascii="Calibri" w:hAnsi="Calibri"/>
                <w:color w:val="000000"/>
                <w:sz w:val="22"/>
                <w:szCs w:val="22"/>
              </w:rPr>
              <w:t xml:space="preserve"> </w:t>
            </w:r>
            <w:r w:rsidRPr="00AE050F">
              <w:rPr>
                <w:rFonts w:ascii="Calibri" w:hAnsi="Calibri"/>
                <w:color w:val="000000"/>
                <w:sz w:val="22"/>
                <w:szCs w:val="22"/>
              </w:rPr>
              <w:t>2016</w:t>
            </w:r>
          </w:p>
          <w:p w14:paraId="02A1A683" w14:textId="3E2B9A97" w:rsidR="002C4DD7" w:rsidRPr="00AE050F" w:rsidRDefault="002C4DD7" w:rsidP="00B15FBD">
            <w:pPr>
              <w:rPr>
                <w:rFonts w:ascii="Calibri" w:hAnsi="Calibri"/>
                <w:color w:val="000000"/>
                <w:sz w:val="22"/>
                <w:szCs w:val="22"/>
              </w:rPr>
            </w:pPr>
            <w:r w:rsidRPr="00AE050F">
              <w:rPr>
                <w:rFonts w:ascii="Calibri" w:hAnsi="Calibri"/>
                <w:color w:val="000000"/>
                <w:sz w:val="22"/>
                <w:szCs w:val="22"/>
              </w:rPr>
              <w:t>Refurbished 2015</w:t>
            </w:r>
          </w:p>
        </w:tc>
      </w:tr>
      <w:tr w:rsidR="002C4DD7" w:rsidRPr="00AE050F" w14:paraId="3F4C5C55" w14:textId="77777777" w:rsidTr="001A66EE">
        <w:trPr>
          <w:trHeight w:val="320"/>
        </w:trPr>
        <w:tc>
          <w:tcPr>
            <w:tcW w:w="2561" w:type="dxa"/>
            <w:tcBorders>
              <w:top w:val="dashSmallGap" w:sz="4" w:space="0" w:color="548DD4" w:themeColor="text2" w:themeTint="99"/>
              <w:left w:val="triple"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0624A680" w14:textId="77777777" w:rsidR="002C4DD7" w:rsidRPr="00AE050F" w:rsidRDefault="002C4DD7" w:rsidP="00CA69F3">
            <w:pPr>
              <w:rPr>
                <w:rFonts w:ascii="Calibri" w:hAnsi="Calibri"/>
                <w:color w:val="000000"/>
                <w:sz w:val="22"/>
                <w:szCs w:val="22"/>
              </w:rPr>
            </w:pPr>
            <w:proofErr w:type="spellStart"/>
            <w:r w:rsidRPr="00AE050F">
              <w:rPr>
                <w:rFonts w:ascii="Calibri" w:hAnsi="Calibri" w:cstheme="minorHAnsi"/>
                <w:color w:val="000000"/>
                <w:sz w:val="22"/>
                <w:szCs w:val="22"/>
              </w:rPr>
              <w:t>Metquarter</w:t>
            </w:r>
            <w:proofErr w:type="spellEnd"/>
          </w:p>
        </w:tc>
        <w:tc>
          <w:tcPr>
            <w:tcW w:w="1326"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noWrap/>
            <w:vAlign w:val="bottom"/>
            <w:hideMark/>
          </w:tcPr>
          <w:p w14:paraId="47142317" w14:textId="77777777" w:rsidR="002C4DD7" w:rsidRPr="00AE050F" w:rsidRDefault="002C4DD7" w:rsidP="00B15FBD">
            <w:pPr>
              <w:ind w:firstLine="142"/>
              <w:jc w:val="center"/>
              <w:rPr>
                <w:rFonts w:ascii="Calibri" w:hAnsi="Calibri"/>
                <w:color w:val="000000"/>
                <w:sz w:val="22"/>
                <w:szCs w:val="22"/>
              </w:rPr>
            </w:pPr>
          </w:p>
        </w:tc>
        <w:tc>
          <w:tcPr>
            <w:tcW w:w="138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6A92F1BC"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olor w:val="000000"/>
                <w:sz w:val="22"/>
                <w:szCs w:val="22"/>
              </w:rPr>
              <w:t>14,120</w:t>
            </w:r>
          </w:p>
        </w:tc>
        <w:tc>
          <w:tcPr>
            <w:tcW w:w="1455" w:type="dxa"/>
            <w:tc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tcBorders>
            <w:shd w:val="clear" w:color="auto" w:fill="auto"/>
            <w:vAlign w:val="center"/>
            <w:hideMark/>
          </w:tcPr>
          <w:p w14:paraId="2250A4F9"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2006</w:t>
            </w:r>
          </w:p>
        </w:tc>
        <w:tc>
          <w:tcPr>
            <w:tcW w:w="2983" w:type="dxa"/>
            <w:tcBorders>
              <w:top w:val="dashSmallGap" w:sz="4" w:space="0" w:color="548DD4" w:themeColor="text2" w:themeTint="99"/>
              <w:left w:val="dashSmallGap" w:sz="4" w:space="0" w:color="548DD4" w:themeColor="text2" w:themeTint="99"/>
              <w:bottom w:val="dashSmallGap" w:sz="4" w:space="0" w:color="548DD4" w:themeColor="text2" w:themeTint="99"/>
              <w:right w:val="triple" w:sz="4" w:space="0" w:color="548DD4" w:themeColor="text2" w:themeTint="99"/>
            </w:tcBorders>
            <w:shd w:val="clear" w:color="auto" w:fill="auto"/>
            <w:vAlign w:val="center"/>
            <w:hideMark/>
          </w:tcPr>
          <w:p w14:paraId="0AD5989C" w14:textId="77777777" w:rsidR="002C4DD7" w:rsidRPr="00AE050F" w:rsidRDefault="002C4DD7" w:rsidP="00B15FBD">
            <w:pPr>
              <w:rPr>
                <w:rFonts w:ascii="Calibri" w:hAnsi="Calibri"/>
                <w:color w:val="000000"/>
                <w:sz w:val="22"/>
                <w:szCs w:val="22"/>
              </w:rPr>
            </w:pPr>
            <w:r w:rsidRPr="00AE050F">
              <w:rPr>
                <w:rFonts w:ascii="Calibri" w:hAnsi="Calibri"/>
                <w:color w:val="000000"/>
                <w:sz w:val="22"/>
                <w:szCs w:val="22"/>
              </w:rPr>
              <w:t>Refurbished 2018</w:t>
            </w:r>
          </w:p>
        </w:tc>
      </w:tr>
      <w:tr w:rsidR="002C4DD7" w:rsidRPr="00AE050F" w14:paraId="224BADEF" w14:textId="77777777" w:rsidTr="001A66EE">
        <w:trPr>
          <w:trHeight w:val="920"/>
        </w:trPr>
        <w:tc>
          <w:tcPr>
            <w:tcW w:w="2561" w:type="dxa"/>
            <w:tcBorders>
              <w:top w:val="dashSmallGap" w:sz="4" w:space="0" w:color="548DD4" w:themeColor="text2" w:themeTint="99"/>
              <w:left w:val="triple" w:sz="4" w:space="0" w:color="548DD4" w:themeColor="text2" w:themeTint="99"/>
              <w:bottom w:val="single" w:sz="2" w:space="0" w:color="548DD4" w:themeColor="text2" w:themeTint="99"/>
              <w:right w:val="dashSmallGap" w:sz="4" w:space="0" w:color="548DD4" w:themeColor="text2" w:themeTint="99"/>
            </w:tcBorders>
            <w:shd w:val="clear" w:color="auto" w:fill="auto"/>
            <w:vAlign w:val="center"/>
            <w:hideMark/>
          </w:tcPr>
          <w:p w14:paraId="6F7F038A" w14:textId="07C1E2CC" w:rsidR="002C4DD7" w:rsidRPr="00AE050F" w:rsidRDefault="002C4DD7" w:rsidP="00CA69F3">
            <w:pPr>
              <w:rPr>
                <w:rFonts w:ascii="Calibri" w:hAnsi="Calibri"/>
                <w:color w:val="000000"/>
                <w:sz w:val="22"/>
                <w:szCs w:val="22"/>
              </w:rPr>
            </w:pPr>
            <w:r w:rsidRPr="00AE050F">
              <w:rPr>
                <w:rFonts w:ascii="Calibri" w:hAnsi="Calibri" w:cstheme="minorHAnsi"/>
                <w:color w:val="000000"/>
                <w:sz w:val="22"/>
                <w:szCs w:val="22"/>
              </w:rPr>
              <w:t xml:space="preserve">St John’s Shopping Centre </w:t>
            </w:r>
            <w:r w:rsidR="00EB727F">
              <w:rPr>
                <w:rFonts w:ascii="Calibri" w:hAnsi="Calibri" w:cstheme="minorHAnsi"/>
                <w:color w:val="000000"/>
                <w:sz w:val="22"/>
                <w:szCs w:val="22"/>
              </w:rPr>
              <w:t>and</w:t>
            </w:r>
            <w:r w:rsidRPr="00AE050F">
              <w:rPr>
                <w:rFonts w:ascii="Calibri" w:hAnsi="Calibri" w:cstheme="minorHAnsi"/>
                <w:color w:val="000000"/>
                <w:sz w:val="22"/>
                <w:szCs w:val="22"/>
              </w:rPr>
              <w:t xml:space="preserve"> Market</w:t>
            </w:r>
          </w:p>
        </w:tc>
        <w:tc>
          <w:tcPr>
            <w:tcW w:w="1326" w:type="dxa"/>
            <w:tcBorders>
              <w:top w:val="dashSmallGap" w:sz="4" w:space="0" w:color="548DD4" w:themeColor="text2" w:themeTint="99"/>
              <w:left w:val="dashSmallGap" w:sz="4" w:space="0" w:color="548DD4" w:themeColor="text2" w:themeTint="99"/>
              <w:bottom w:val="single" w:sz="2" w:space="0" w:color="548DD4" w:themeColor="text2" w:themeTint="99"/>
              <w:right w:val="dashSmallGap" w:sz="4" w:space="0" w:color="548DD4" w:themeColor="text2" w:themeTint="99"/>
            </w:tcBorders>
            <w:shd w:val="clear" w:color="auto" w:fill="auto"/>
            <w:noWrap/>
            <w:vAlign w:val="bottom"/>
            <w:hideMark/>
          </w:tcPr>
          <w:p w14:paraId="76B7BD17" w14:textId="77777777" w:rsidR="002C4DD7" w:rsidRPr="00AE050F" w:rsidRDefault="002C4DD7" w:rsidP="00B15FBD">
            <w:pPr>
              <w:ind w:firstLine="142"/>
              <w:jc w:val="center"/>
              <w:rPr>
                <w:rFonts w:ascii="Calibri" w:hAnsi="Calibri"/>
                <w:color w:val="000000"/>
                <w:sz w:val="22"/>
                <w:szCs w:val="22"/>
              </w:rPr>
            </w:pPr>
          </w:p>
        </w:tc>
        <w:tc>
          <w:tcPr>
            <w:tcW w:w="1385" w:type="dxa"/>
            <w:tcBorders>
              <w:top w:val="dashSmallGap" w:sz="4" w:space="0" w:color="548DD4" w:themeColor="text2" w:themeTint="99"/>
              <w:left w:val="dashSmallGap" w:sz="4" w:space="0" w:color="548DD4" w:themeColor="text2" w:themeTint="99"/>
              <w:bottom w:val="single" w:sz="2" w:space="0" w:color="548DD4" w:themeColor="text2" w:themeTint="99"/>
              <w:right w:val="dashSmallGap" w:sz="4" w:space="0" w:color="548DD4" w:themeColor="text2" w:themeTint="99"/>
            </w:tcBorders>
            <w:shd w:val="clear" w:color="auto" w:fill="auto"/>
            <w:vAlign w:val="center"/>
            <w:hideMark/>
          </w:tcPr>
          <w:p w14:paraId="01DE1438"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olor w:val="000000"/>
                <w:sz w:val="22"/>
                <w:szCs w:val="22"/>
              </w:rPr>
              <w:t>33,445</w:t>
            </w:r>
          </w:p>
        </w:tc>
        <w:tc>
          <w:tcPr>
            <w:tcW w:w="1455" w:type="dxa"/>
            <w:tcBorders>
              <w:top w:val="dashSmallGap" w:sz="4" w:space="0" w:color="548DD4" w:themeColor="text2" w:themeTint="99"/>
              <w:left w:val="dashSmallGap" w:sz="4" w:space="0" w:color="548DD4" w:themeColor="text2" w:themeTint="99"/>
              <w:bottom w:val="single" w:sz="2" w:space="0" w:color="548DD4" w:themeColor="text2" w:themeTint="99"/>
              <w:right w:val="dashSmallGap" w:sz="4" w:space="0" w:color="548DD4" w:themeColor="text2" w:themeTint="99"/>
            </w:tcBorders>
            <w:shd w:val="clear" w:color="auto" w:fill="auto"/>
            <w:vAlign w:val="center"/>
            <w:hideMark/>
          </w:tcPr>
          <w:p w14:paraId="3FBA5B5F"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1969</w:t>
            </w:r>
          </w:p>
        </w:tc>
        <w:tc>
          <w:tcPr>
            <w:tcW w:w="2983" w:type="dxa"/>
            <w:tcBorders>
              <w:top w:val="dashSmallGap" w:sz="4" w:space="0" w:color="548DD4" w:themeColor="text2" w:themeTint="99"/>
              <w:left w:val="dashSmallGap" w:sz="4" w:space="0" w:color="548DD4" w:themeColor="text2" w:themeTint="99"/>
              <w:bottom w:val="single" w:sz="2" w:space="0" w:color="548DD4" w:themeColor="text2" w:themeTint="99"/>
              <w:right w:val="triple" w:sz="4" w:space="0" w:color="548DD4" w:themeColor="text2" w:themeTint="99"/>
            </w:tcBorders>
            <w:shd w:val="clear" w:color="auto" w:fill="auto"/>
            <w:vAlign w:val="center"/>
            <w:hideMark/>
          </w:tcPr>
          <w:p w14:paraId="16467266" w14:textId="299D5C09" w:rsidR="006E187C" w:rsidRDefault="002C4DD7" w:rsidP="00B15FBD">
            <w:pPr>
              <w:rPr>
                <w:rFonts w:ascii="Calibri" w:hAnsi="Calibri"/>
                <w:color w:val="000000"/>
                <w:sz w:val="22"/>
                <w:szCs w:val="22"/>
              </w:rPr>
            </w:pPr>
            <w:r w:rsidRPr="00AE050F">
              <w:rPr>
                <w:rFonts w:ascii="Calibri" w:hAnsi="Calibri"/>
                <w:color w:val="000000"/>
                <w:sz w:val="22"/>
                <w:szCs w:val="22"/>
              </w:rPr>
              <w:t>Major refurbishment 2015</w:t>
            </w:r>
          </w:p>
          <w:p w14:paraId="6B5019BD" w14:textId="279F6974" w:rsidR="002C4DD7" w:rsidRDefault="002C4DD7" w:rsidP="00B15FBD">
            <w:pPr>
              <w:rPr>
                <w:rFonts w:ascii="Calibri" w:hAnsi="Calibri"/>
                <w:color w:val="000000"/>
                <w:sz w:val="22"/>
                <w:szCs w:val="22"/>
              </w:rPr>
            </w:pPr>
            <w:r w:rsidRPr="00AE050F">
              <w:rPr>
                <w:rFonts w:ascii="Calibri" w:hAnsi="Calibri"/>
                <w:color w:val="000000"/>
                <w:sz w:val="22"/>
                <w:szCs w:val="22"/>
              </w:rPr>
              <w:t>Refurbished 2013</w:t>
            </w:r>
          </w:p>
          <w:p w14:paraId="7AF84A6A" w14:textId="77777777" w:rsidR="002C4DD7" w:rsidRPr="00AE050F" w:rsidRDefault="002C4DD7" w:rsidP="00B15FBD">
            <w:pPr>
              <w:rPr>
                <w:rFonts w:ascii="Calibri" w:hAnsi="Calibri"/>
                <w:color w:val="000000"/>
                <w:sz w:val="22"/>
                <w:szCs w:val="22"/>
              </w:rPr>
            </w:pPr>
            <w:r w:rsidRPr="00AE050F">
              <w:rPr>
                <w:rFonts w:ascii="Calibri" w:hAnsi="Calibri"/>
                <w:color w:val="000000"/>
                <w:sz w:val="22"/>
                <w:szCs w:val="22"/>
              </w:rPr>
              <w:t>Refurbished 1999</w:t>
            </w:r>
          </w:p>
        </w:tc>
      </w:tr>
      <w:tr w:rsidR="002C4DD7" w:rsidRPr="00AE050F" w14:paraId="6F5D31F8" w14:textId="77777777" w:rsidTr="001A66EE">
        <w:trPr>
          <w:trHeight w:val="340"/>
        </w:trPr>
        <w:tc>
          <w:tcPr>
            <w:tcW w:w="2561" w:type="dxa"/>
            <w:tcBorders>
              <w:top w:val="single" w:sz="2" w:space="0" w:color="548DD4" w:themeColor="text2" w:themeTint="99"/>
              <w:left w:val="triple" w:sz="4" w:space="0" w:color="548DD4" w:themeColor="text2" w:themeTint="99"/>
              <w:bottom w:val="triple" w:sz="4" w:space="0" w:color="548DD4" w:themeColor="text2" w:themeTint="99"/>
              <w:right w:val="single" w:sz="2" w:space="0" w:color="548DD4" w:themeColor="text2" w:themeTint="99"/>
            </w:tcBorders>
            <w:shd w:val="clear" w:color="auto" w:fill="auto"/>
            <w:vAlign w:val="center"/>
            <w:hideMark/>
          </w:tcPr>
          <w:p w14:paraId="4C5C732E" w14:textId="43A50152" w:rsidR="002C4DD7" w:rsidRPr="00AE050F" w:rsidRDefault="00CA69F3" w:rsidP="00CA69F3">
            <w:pPr>
              <w:rPr>
                <w:rFonts w:ascii="Calibri" w:hAnsi="Calibri"/>
                <w:b/>
                <w:bCs/>
                <w:i/>
                <w:iCs/>
                <w:color w:val="000000"/>
                <w:sz w:val="22"/>
                <w:szCs w:val="22"/>
              </w:rPr>
            </w:pPr>
            <w:r>
              <w:rPr>
                <w:rFonts w:ascii="Calibri" w:hAnsi="Calibri"/>
                <w:b/>
                <w:bCs/>
                <w:i/>
                <w:iCs/>
                <w:color w:val="000000"/>
                <w:sz w:val="22"/>
                <w:szCs w:val="22"/>
              </w:rPr>
              <w:t>Est</w:t>
            </w:r>
            <w:r w:rsidR="00F81E86">
              <w:rPr>
                <w:rFonts w:ascii="Calibri" w:hAnsi="Calibri"/>
                <w:b/>
                <w:bCs/>
                <w:i/>
                <w:iCs/>
                <w:color w:val="000000"/>
                <w:sz w:val="22"/>
                <w:szCs w:val="22"/>
              </w:rPr>
              <w:t>.</w:t>
            </w:r>
            <w:r>
              <w:rPr>
                <w:rFonts w:ascii="Calibri" w:hAnsi="Calibri"/>
                <w:b/>
                <w:bCs/>
                <w:i/>
                <w:iCs/>
                <w:color w:val="000000"/>
                <w:sz w:val="22"/>
                <w:szCs w:val="22"/>
              </w:rPr>
              <w:t xml:space="preserve"> </w:t>
            </w:r>
            <w:r w:rsidR="002C4DD7" w:rsidRPr="00AE050F">
              <w:rPr>
                <w:rFonts w:ascii="Calibri" w:hAnsi="Calibri"/>
                <w:b/>
                <w:bCs/>
                <w:i/>
                <w:iCs/>
                <w:color w:val="000000"/>
                <w:sz w:val="22"/>
                <w:szCs w:val="22"/>
              </w:rPr>
              <w:t xml:space="preserve">Total </w:t>
            </w:r>
            <w:r>
              <w:rPr>
                <w:rFonts w:ascii="Calibri" w:hAnsi="Calibri"/>
                <w:b/>
                <w:bCs/>
                <w:i/>
                <w:iCs/>
                <w:color w:val="000000"/>
                <w:sz w:val="22"/>
                <w:szCs w:val="22"/>
              </w:rPr>
              <w:t>Floorspace</w:t>
            </w:r>
          </w:p>
        </w:tc>
        <w:tc>
          <w:tcPr>
            <w:tcW w:w="1326" w:type="dxa"/>
            <w:tcBorders>
              <w:top w:val="single" w:sz="2" w:space="0" w:color="548DD4" w:themeColor="text2" w:themeTint="99"/>
              <w:left w:val="single" w:sz="2" w:space="0" w:color="548DD4" w:themeColor="text2" w:themeTint="99"/>
              <w:bottom w:val="triple" w:sz="4" w:space="0" w:color="548DD4" w:themeColor="text2" w:themeTint="99"/>
              <w:right w:val="single" w:sz="2" w:space="0" w:color="548DD4" w:themeColor="text2" w:themeTint="99"/>
            </w:tcBorders>
            <w:shd w:val="clear" w:color="auto" w:fill="auto"/>
            <w:vAlign w:val="center"/>
            <w:hideMark/>
          </w:tcPr>
          <w:p w14:paraId="11BB7EE2" w14:textId="77777777" w:rsidR="002C4DD7" w:rsidRPr="00AE050F" w:rsidRDefault="002C4DD7" w:rsidP="00B15FBD">
            <w:pPr>
              <w:ind w:firstLine="142"/>
              <w:jc w:val="center"/>
              <w:rPr>
                <w:rFonts w:ascii="Calibri" w:hAnsi="Calibri"/>
                <w:b/>
                <w:bCs/>
                <w:color w:val="000000"/>
                <w:sz w:val="22"/>
                <w:szCs w:val="22"/>
              </w:rPr>
            </w:pPr>
            <w:r w:rsidRPr="00AE050F">
              <w:rPr>
                <w:rFonts w:ascii="Calibri" w:hAnsi="Calibri"/>
                <w:b/>
                <w:bCs/>
                <w:color w:val="000000"/>
                <w:sz w:val="22"/>
                <w:szCs w:val="22"/>
              </w:rPr>
              <w:t>279,000</w:t>
            </w:r>
          </w:p>
        </w:tc>
        <w:tc>
          <w:tcPr>
            <w:tcW w:w="1385" w:type="dxa"/>
            <w:tcBorders>
              <w:top w:val="single" w:sz="2" w:space="0" w:color="548DD4" w:themeColor="text2" w:themeTint="99"/>
              <w:left w:val="single" w:sz="2" w:space="0" w:color="548DD4" w:themeColor="text2" w:themeTint="99"/>
              <w:bottom w:val="triple" w:sz="4" w:space="0" w:color="548DD4" w:themeColor="text2" w:themeTint="99"/>
              <w:right w:val="single" w:sz="2" w:space="0" w:color="548DD4" w:themeColor="text2" w:themeTint="99"/>
            </w:tcBorders>
            <w:shd w:val="clear" w:color="auto" w:fill="auto"/>
            <w:noWrap/>
            <w:vAlign w:val="bottom"/>
            <w:hideMark/>
          </w:tcPr>
          <w:p w14:paraId="60FF6F67" w14:textId="77777777" w:rsidR="002C4DD7" w:rsidRPr="00AE050F" w:rsidRDefault="002C4DD7" w:rsidP="00B15FBD">
            <w:pPr>
              <w:ind w:firstLine="142"/>
              <w:jc w:val="center"/>
              <w:rPr>
                <w:rFonts w:ascii="Calibri" w:hAnsi="Calibri"/>
                <w:color w:val="000000"/>
                <w:sz w:val="22"/>
                <w:szCs w:val="22"/>
              </w:rPr>
            </w:pPr>
          </w:p>
        </w:tc>
        <w:tc>
          <w:tcPr>
            <w:tcW w:w="1455" w:type="dxa"/>
            <w:tcBorders>
              <w:top w:val="single" w:sz="2" w:space="0" w:color="548DD4" w:themeColor="text2" w:themeTint="99"/>
              <w:left w:val="single" w:sz="2" w:space="0" w:color="548DD4" w:themeColor="text2" w:themeTint="99"/>
              <w:bottom w:val="triple" w:sz="4" w:space="0" w:color="548DD4" w:themeColor="text2" w:themeTint="99"/>
              <w:right w:val="single" w:sz="2" w:space="0" w:color="548DD4" w:themeColor="text2" w:themeTint="99"/>
            </w:tcBorders>
            <w:shd w:val="clear" w:color="auto" w:fill="auto"/>
            <w:vAlign w:val="center"/>
            <w:hideMark/>
          </w:tcPr>
          <w:p w14:paraId="4261B150" w14:textId="77777777" w:rsidR="002C4DD7" w:rsidRPr="00AE050F" w:rsidRDefault="002C4DD7" w:rsidP="00B15FBD">
            <w:pPr>
              <w:ind w:firstLine="142"/>
              <w:jc w:val="center"/>
              <w:rPr>
                <w:rFonts w:ascii="Calibri" w:hAnsi="Calibri"/>
                <w:color w:val="000000"/>
                <w:sz w:val="22"/>
                <w:szCs w:val="22"/>
              </w:rPr>
            </w:pPr>
          </w:p>
        </w:tc>
        <w:tc>
          <w:tcPr>
            <w:tcW w:w="2983" w:type="dxa"/>
            <w:tcBorders>
              <w:top w:val="single" w:sz="2" w:space="0" w:color="548DD4" w:themeColor="text2" w:themeTint="99"/>
              <w:left w:val="single" w:sz="2" w:space="0" w:color="548DD4" w:themeColor="text2" w:themeTint="99"/>
              <w:bottom w:val="triple" w:sz="4" w:space="0" w:color="548DD4" w:themeColor="text2" w:themeTint="99"/>
              <w:right w:val="triple" w:sz="4" w:space="0" w:color="548DD4" w:themeColor="text2" w:themeTint="99"/>
            </w:tcBorders>
            <w:shd w:val="clear" w:color="auto" w:fill="auto"/>
            <w:vAlign w:val="center"/>
            <w:hideMark/>
          </w:tcPr>
          <w:p w14:paraId="38DC1D4F" w14:textId="77777777" w:rsidR="002C4DD7" w:rsidRPr="00AE050F" w:rsidRDefault="002C4DD7" w:rsidP="00B15FBD">
            <w:pPr>
              <w:ind w:firstLine="142"/>
              <w:rPr>
                <w:rFonts w:ascii="Calibri" w:hAnsi="Calibri"/>
                <w:color w:val="000000"/>
                <w:sz w:val="22"/>
                <w:szCs w:val="22"/>
              </w:rPr>
            </w:pPr>
          </w:p>
        </w:tc>
      </w:tr>
    </w:tbl>
    <w:p w14:paraId="5AD71FFF" w14:textId="76FFF112" w:rsidR="00D9315F" w:rsidRPr="00F46539" w:rsidRDefault="00D9315F" w:rsidP="00D9315F">
      <w:pPr>
        <w:spacing w:line="360" w:lineRule="auto"/>
        <w:rPr>
          <w:rFonts w:asciiTheme="minorHAnsi" w:eastAsiaTheme="minorHAnsi" w:hAnsiTheme="minorHAnsi" w:cstheme="minorHAnsi"/>
          <w:sz w:val="20"/>
          <w:szCs w:val="20"/>
        </w:rPr>
      </w:pPr>
      <w:r w:rsidRPr="00F46539">
        <w:rPr>
          <w:rFonts w:asciiTheme="minorHAnsi" w:eastAsiaTheme="minorHAnsi" w:hAnsiTheme="minorHAnsi" w:cstheme="minorHAnsi"/>
          <w:sz w:val="20"/>
          <w:szCs w:val="20"/>
        </w:rPr>
        <w:t>Source: Compiled from CoStar, Completely Retail</w:t>
      </w:r>
      <w:r w:rsidR="00F46539" w:rsidRPr="00F46539">
        <w:rPr>
          <w:rFonts w:asciiTheme="minorHAnsi" w:eastAsiaTheme="minorHAnsi" w:hAnsiTheme="minorHAnsi" w:cstheme="minorHAnsi"/>
          <w:sz w:val="20"/>
          <w:szCs w:val="20"/>
        </w:rPr>
        <w:t>,</w:t>
      </w:r>
      <w:r w:rsidRPr="00F46539">
        <w:rPr>
          <w:rFonts w:asciiTheme="minorHAnsi" w:eastAsiaTheme="minorHAnsi" w:hAnsiTheme="minorHAnsi" w:cstheme="minorHAnsi"/>
          <w:sz w:val="20"/>
          <w:szCs w:val="20"/>
        </w:rPr>
        <w:t xml:space="preserve"> PMA (2020</w:t>
      </w:r>
      <w:r w:rsidR="00EB727F">
        <w:rPr>
          <w:rFonts w:asciiTheme="minorHAnsi" w:eastAsiaTheme="minorHAnsi" w:hAnsiTheme="minorHAnsi" w:cstheme="minorHAnsi"/>
          <w:sz w:val="20"/>
          <w:szCs w:val="20"/>
        </w:rPr>
        <w:t>d</w:t>
      </w:r>
      <w:r w:rsidRPr="00F46539">
        <w:rPr>
          <w:rFonts w:asciiTheme="minorHAnsi" w:eastAsiaTheme="minorHAnsi" w:hAnsiTheme="minorHAnsi" w:cstheme="minorHAnsi"/>
          <w:sz w:val="20"/>
          <w:szCs w:val="20"/>
        </w:rPr>
        <w:t>)</w:t>
      </w:r>
      <w:r w:rsidR="00F46539" w:rsidRPr="00F46539">
        <w:rPr>
          <w:rFonts w:asciiTheme="minorHAnsi" w:eastAsiaTheme="minorHAnsi" w:hAnsiTheme="minorHAnsi" w:cstheme="minorHAnsi"/>
          <w:sz w:val="20"/>
          <w:szCs w:val="20"/>
        </w:rPr>
        <w:t>.</w:t>
      </w:r>
    </w:p>
    <w:p w14:paraId="60A24626" w14:textId="22B876CD" w:rsidR="0035211E" w:rsidRDefault="0035211E" w:rsidP="00073091">
      <w:pPr>
        <w:spacing w:line="360" w:lineRule="auto"/>
        <w:jc w:val="both"/>
        <w:rPr>
          <w:rFonts w:asciiTheme="minorHAnsi" w:eastAsiaTheme="minorHAnsi" w:hAnsiTheme="minorHAnsi" w:cstheme="minorHAnsi"/>
        </w:rPr>
      </w:pPr>
    </w:p>
    <w:p w14:paraId="67C8E114" w14:textId="0712E734" w:rsidR="006E187C" w:rsidRPr="008B0983" w:rsidRDefault="006E187C" w:rsidP="006E187C">
      <w:pPr>
        <w:spacing w:line="360" w:lineRule="auto"/>
        <w:jc w:val="both"/>
        <w:rPr>
          <w:rFonts w:asciiTheme="minorHAnsi" w:eastAsiaTheme="minorHAnsi" w:hAnsiTheme="minorHAnsi" w:cstheme="minorHAnsi"/>
          <w:lang w:eastAsia="en-US"/>
        </w:rPr>
      </w:pPr>
      <w:r w:rsidRPr="008B0983">
        <w:rPr>
          <w:rFonts w:asciiTheme="minorHAnsi" w:eastAsiaTheme="minorHAnsi" w:hAnsiTheme="minorHAnsi" w:cstheme="minorHAnsi"/>
          <w:lang w:eastAsia="en-US"/>
        </w:rPr>
        <w:t>The retailing area under study in Liverpool covers an area of 0.458km</w:t>
      </w:r>
      <w:r w:rsidRPr="008B0983">
        <w:rPr>
          <w:rFonts w:asciiTheme="minorHAnsi" w:eastAsiaTheme="minorHAnsi" w:hAnsiTheme="minorHAnsi" w:cstheme="minorHAnsi"/>
          <w:vertAlign w:val="superscript"/>
          <w:lang w:eastAsia="en-US"/>
        </w:rPr>
        <w:t xml:space="preserve">2 </w:t>
      </w:r>
      <w:r w:rsidRPr="008B0983">
        <w:rPr>
          <w:rFonts w:asciiTheme="minorHAnsi" w:eastAsiaTheme="minorHAnsi" w:hAnsiTheme="minorHAnsi" w:cstheme="minorHAnsi"/>
          <w:lang w:eastAsia="en-US"/>
        </w:rPr>
        <w:t xml:space="preserve">(0.177 square miles). Over the study period the retail floorspace has changed considerably due to two significant developments. The first was the conversion of the old post office building into </w:t>
      </w:r>
      <w:proofErr w:type="spellStart"/>
      <w:r w:rsidRPr="008B0983">
        <w:rPr>
          <w:rFonts w:asciiTheme="minorHAnsi" w:eastAsiaTheme="minorHAnsi" w:hAnsiTheme="minorHAnsi" w:cstheme="minorHAnsi"/>
          <w:lang w:eastAsia="en-US"/>
        </w:rPr>
        <w:t>Metquarter</w:t>
      </w:r>
      <w:proofErr w:type="spellEnd"/>
      <w:r w:rsidRPr="008B0983">
        <w:rPr>
          <w:rFonts w:asciiTheme="minorHAnsi" w:eastAsiaTheme="minorHAnsi" w:hAnsiTheme="minorHAnsi" w:cstheme="minorHAnsi"/>
          <w:lang w:eastAsia="en-US"/>
        </w:rPr>
        <w:t xml:space="preserve"> in 2006, followed by Liverpool One in 2008</w:t>
      </w:r>
      <w:r>
        <w:rPr>
          <w:rFonts w:asciiTheme="minorHAnsi" w:eastAsiaTheme="minorHAnsi" w:hAnsiTheme="minorHAnsi" w:cstheme="minorHAnsi"/>
          <w:lang w:eastAsia="en-US"/>
        </w:rPr>
        <w:t>, as detailed in Table 4</w:t>
      </w:r>
      <w:r w:rsidRPr="008B0983">
        <w:rPr>
          <w:rFonts w:asciiTheme="minorHAnsi" w:eastAsiaTheme="minorHAnsi" w:hAnsiTheme="minorHAnsi" w:cstheme="minorHAnsi"/>
          <w:lang w:eastAsia="en-US"/>
        </w:rPr>
        <w:t>. Liverpool One was public sector led as a major regeneration project to revitalise a large part of the city centre and strength</w:t>
      </w:r>
      <w:r>
        <w:rPr>
          <w:rFonts w:asciiTheme="minorHAnsi" w:eastAsiaTheme="minorHAnsi" w:hAnsiTheme="minorHAnsi" w:cstheme="minorHAnsi"/>
          <w:lang w:eastAsia="en-US"/>
        </w:rPr>
        <w:t>en</w:t>
      </w:r>
      <w:r w:rsidRPr="008B0983">
        <w:rPr>
          <w:rFonts w:asciiTheme="minorHAnsi" w:eastAsiaTheme="minorHAnsi" w:hAnsiTheme="minorHAnsi" w:cstheme="minorHAnsi"/>
          <w:lang w:eastAsia="en-US"/>
        </w:rPr>
        <w:t xml:space="preserve"> the position of the city as a major retailing centre. This is a modern open area shopping development that comprises pedestrian streets</w:t>
      </w:r>
      <w:r>
        <w:rPr>
          <w:rFonts w:asciiTheme="minorHAnsi" w:eastAsiaTheme="minorHAnsi" w:hAnsiTheme="minorHAnsi" w:cstheme="minorHAnsi"/>
          <w:lang w:eastAsia="en-US"/>
        </w:rPr>
        <w:t>,</w:t>
      </w:r>
      <w:r w:rsidRPr="008B0983">
        <w:rPr>
          <w:rFonts w:asciiTheme="minorHAnsi" w:eastAsiaTheme="minorHAnsi" w:hAnsiTheme="minorHAnsi" w:cstheme="minorHAnsi"/>
          <w:lang w:eastAsia="en-US"/>
        </w:rPr>
        <w:t xml:space="preserve"> and new and converted structures that link directly into the existing street network. Liverpool One also includes a cinema, two hotels, residential apartments, </w:t>
      </w:r>
      <w:r w:rsidRPr="008B0983">
        <w:rPr>
          <w:rFonts w:asciiTheme="minorHAnsi" w:eastAsiaTheme="minorHAnsi" w:hAnsiTheme="minorHAnsi" w:cstheme="minorHAnsi"/>
          <w:lang w:eastAsia="en-US"/>
        </w:rPr>
        <w:lastRenderedPageBreak/>
        <w:t>numerous restaurants, car parking</w:t>
      </w:r>
      <w:r>
        <w:rPr>
          <w:rFonts w:asciiTheme="minorHAnsi" w:eastAsiaTheme="minorHAnsi" w:hAnsiTheme="minorHAnsi" w:cstheme="minorHAnsi"/>
          <w:lang w:eastAsia="en-US"/>
        </w:rPr>
        <w:t>,</w:t>
      </w:r>
      <w:r w:rsidRPr="008B0983">
        <w:rPr>
          <w:rFonts w:asciiTheme="minorHAnsi" w:eastAsiaTheme="minorHAnsi" w:hAnsiTheme="minorHAnsi" w:cstheme="minorHAnsi"/>
          <w:lang w:eastAsia="en-US"/>
        </w:rPr>
        <w:t xml:space="preserve"> and five acres of landscaped gardens, </w:t>
      </w:r>
      <w:proofErr w:type="spellStart"/>
      <w:r w:rsidRPr="008B0983">
        <w:rPr>
          <w:rFonts w:asciiTheme="minorHAnsi" w:eastAsiaTheme="minorHAnsi" w:hAnsiTheme="minorHAnsi" w:cstheme="minorHAnsi"/>
          <w:lang w:eastAsia="en-US"/>
        </w:rPr>
        <w:t>Chavasse</w:t>
      </w:r>
      <w:proofErr w:type="spellEnd"/>
      <w:r w:rsidRPr="008B0983">
        <w:rPr>
          <w:rFonts w:asciiTheme="minorHAnsi" w:eastAsiaTheme="minorHAnsi" w:hAnsiTheme="minorHAnsi" w:cstheme="minorHAnsi"/>
          <w:lang w:eastAsia="en-US"/>
        </w:rPr>
        <w:t xml:space="preserve"> Park, used for entertainment and leisure activities.</w:t>
      </w:r>
    </w:p>
    <w:p w14:paraId="6218AB95" w14:textId="77777777" w:rsidR="006E187C" w:rsidRPr="008B0983" w:rsidRDefault="006E187C" w:rsidP="006E187C">
      <w:pPr>
        <w:spacing w:line="360" w:lineRule="auto"/>
        <w:jc w:val="both"/>
        <w:rPr>
          <w:rFonts w:asciiTheme="minorHAnsi" w:eastAsiaTheme="minorHAnsi" w:hAnsiTheme="minorHAnsi" w:cstheme="minorHAnsi"/>
          <w:lang w:eastAsia="en-US"/>
        </w:rPr>
      </w:pPr>
    </w:p>
    <w:p w14:paraId="677B500A" w14:textId="7B3C6F5B" w:rsidR="006E187C" w:rsidRPr="008B0983" w:rsidRDefault="006E187C" w:rsidP="006E187C">
      <w:pPr>
        <w:spacing w:line="360" w:lineRule="auto"/>
        <w:jc w:val="both"/>
        <w:rPr>
          <w:rFonts w:asciiTheme="minorHAnsi" w:eastAsiaTheme="minorHAnsi" w:hAnsiTheme="minorHAnsi" w:cstheme="minorHAnsi"/>
        </w:rPr>
      </w:pPr>
      <w:r w:rsidRPr="008B0983">
        <w:rPr>
          <w:rFonts w:asciiTheme="minorHAnsi" w:eastAsiaTheme="minorHAnsi" w:hAnsiTheme="minorHAnsi" w:cstheme="minorHAnsi"/>
        </w:rPr>
        <w:t>Church Street and Bold Street represented the traditional prime frontages in Liverpool with Lord Street,</w:t>
      </w:r>
      <w:r w:rsidRPr="008B0983">
        <w:rPr>
          <w:rFonts w:asciiTheme="minorHAnsi" w:hAnsiTheme="minorHAnsi" w:cstheme="minorHAnsi"/>
        </w:rPr>
        <w:t xml:space="preserve"> </w:t>
      </w:r>
      <w:r w:rsidRPr="008B0983">
        <w:rPr>
          <w:rFonts w:asciiTheme="minorHAnsi" w:eastAsiaTheme="minorHAnsi" w:hAnsiTheme="minorHAnsi" w:cstheme="minorHAnsi"/>
        </w:rPr>
        <w:t>Parker Street, Whitechapel, Williamson Square and Ranelagh Street providing additional street level frontages. These streets</w:t>
      </w:r>
      <w:r>
        <w:rPr>
          <w:rFonts w:asciiTheme="minorHAnsi" w:eastAsiaTheme="minorHAnsi" w:hAnsiTheme="minorHAnsi" w:cstheme="minorHAnsi"/>
        </w:rPr>
        <w:t xml:space="preserve"> (with exception of Ranelagh Street)</w:t>
      </w:r>
      <w:r w:rsidRPr="008B0983">
        <w:rPr>
          <w:rFonts w:asciiTheme="minorHAnsi" w:eastAsiaTheme="minorHAnsi" w:hAnsiTheme="minorHAnsi" w:cstheme="minorHAnsi"/>
        </w:rPr>
        <w:t xml:space="preserve"> are pedestrianised, as are many of the narrow side streets to the north of Lord Street and Chapel Street. Four other shopping malls exist in the city centre. The oldest is St John’s Shopping Centre which tends to target discount-led retailers while </w:t>
      </w:r>
      <w:proofErr w:type="spellStart"/>
      <w:r w:rsidRPr="008B0983">
        <w:rPr>
          <w:rFonts w:asciiTheme="minorHAnsi" w:eastAsiaTheme="minorHAnsi" w:hAnsiTheme="minorHAnsi" w:cstheme="minorHAnsi"/>
        </w:rPr>
        <w:t>Metquarter</w:t>
      </w:r>
      <w:proofErr w:type="spellEnd"/>
      <w:r w:rsidRPr="008B0983">
        <w:rPr>
          <w:rFonts w:asciiTheme="minorHAnsi" w:eastAsiaTheme="minorHAnsi" w:hAnsiTheme="minorHAnsi" w:cstheme="minorHAnsi"/>
        </w:rPr>
        <w:t xml:space="preserve"> as well as,</w:t>
      </w:r>
      <w:r w:rsidRPr="00BD1C1F">
        <w:rPr>
          <w:rFonts w:asciiTheme="minorHAnsi" w:eastAsiaTheme="minorHAnsi" w:hAnsiTheme="minorHAnsi" w:cstheme="minorHAnsi"/>
        </w:rPr>
        <w:t xml:space="preserve"> </w:t>
      </w:r>
      <w:r w:rsidRPr="008B0983">
        <w:rPr>
          <w:rFonts w:asciiTheme="minorHAnsi" w:eastAsiaTheme="minorHAnsi" w:hAnsiTheme="minorHAnsi" w:cstheme="minorHAnsi"/>
        </w:rPr>
        <w:t xml:space="preserve">Cavern Walks Centre, targets high-end retailers. The other shopping centres are Central, which provides access to Central Railway station and fronts Ranelagh Street, and Clayton Square Centre. Queen Square, redeveloped in 2000/1, lies to the north of the main retailing streets and has become an established location for </w:t>
      </w:r>
      <w:r>
        <w:rPr>
          <w:rFonts w:asciiTheme="minorHAnsi" w:eastAsiaTheme="minorHAnsi" w:hAnsiTheme="minorHAnsi" w:cstheme="minorHAnsi"/>
        </w:rPr>
        <w:t xml:space="preserve">food and drink </w:t>
      </w:r>
      <w:r w:rsidRPr="008B0983">
        <w:rPr>
          <w:rFonts w:asciiTheme="minorHAnsi" w:eastAsiaTheme="minorHAnsi" w:hAnsiTheme="minorHAnsi" w:cstheme="minorHAnsi"/>
        </w:rPr>
        <w:t xml:space="preserve">operators. Retail, food </w:t>
      </w:r>
      <w:r>
        <w:rPr>
          <w:rFonts w:asciiTheme="minorHAnsi" w:eastAsiaTheme="minorHAnsi" w:hAnsiTheme="minorHAnsi" w:cstheme="minorHAnsi"/>
        </w:rPr>
        <w:t>and</w:t>
      </w:r>
      <w:r w:rsidRPr="008B0983">
        <w:rPr>
          <w:rFonts w:asciiTheme="minorHAnsi" w:eastAsiaTheme="minorHAnsi" w:hAnsiTheme="minorHAnsi" w:cstheme="minorHAnsi"/>
        </w:rPr>
        <w:t xml:space="preserve"> drink and entertainment represent 15% of economic output in the city (ONS, 2019).</w:t>
      </w:r>
    </w:p>
    <w:p w14:paraId="0BC6091D" w14:textId="77777777" w:rsidR="006E187C" w:rsidRPr="008B0983" w:rsidRDefault="006E187C" w:rsidP="00073091">
      <w:pPr>
        <w:spacing w:line="360" w:lineRule="auto"/>
        <w:jc w:val="both"/>
        <w:rPr>
          <w:rFonts w:asciiTheme="minorHAnsi" w:eastAsiaTheme="minorHAnsi" w:hAnsiTheme="minorHAnsi" w:cstheme="minorHAnsi"/>
        </w:rPr>
      </w:pPr>
    </w:p>
    <w:p w14:paraId="59C21385" w14:textId="75BEA110" w:rsidR="008B0983" w:rsidRPr="00414684" w:rsidRDefault="0035211E" w:rsidP="008B0983">
      <w:pPr>
        <w:spacing w:line="360" w:lineRule="auto"/>
        <w:jc w:val="both"/>
        <w:rPr>
          <w:rFonts w:asciiTheme="minorHAnsi" w:eastAsiaTheme="minorHAnsi" w:hAnsiTheme="minorHAnsi" w:cstheme="minorHAnsi"/>
          <w:sz w:val="22"/>
          <w:szCs w:val="22"/>
        </w:rPr>
      </w:pPr>
      <w:r w:rsidRPr="008B0983">
        <w:rPr>
          <w:rFonts w:asciiTheme="minorHAnsi" w:eastAsiaTheme="minorHAnsi" w:hAnsiTheme="minorHAnsi" w:cstheme="minorHAnsi"/>
        </w:rPr>
        <w:t>PMA (20</w:t>
      </w:r>
      <w:r w:rsidR="00EB727F">
        <w:rPr>
          <w:rFonts w:asciiTheme="minorHAnsi" w:eastAsiaTheme="minorHAnsi" w:hAnsiTheme="minorHAnsi" w:cstheme="minorHAnsi"/>
        </w:rPr>
        <w:t>20d</w:t>
      </w:r>
      <w:r w:rsidRPr="008B0983">
        <w:rPr>
          <w:rFonts w:asciiTheme="minorHAnsi" w:eastAsiaTheme="minorHAnsi" w:hAnsiTheme="minorHAnsi" w:cstheme="minorHAnsi"/>
        </w:rPr>
        <w:t xml:space="preserve">) categorise the Liverpool retail catchment area as one of the least affluent areas in England. They saw little change in the first half of the study period but </w:t>
      </w:r>
      <w:r w:rsidR="00864B9E">
        <w:rPr>
          <w:rFonts w:asciiTheme="minorHAnsi" w:eastAsiaTheme="minorHAnsi" w:hAnsiTheme="minorHAnsi" w:cstheme="minorHAnsi"/>
        </w:rPr>
        <w:t xml:space="preserve">this </w:t>
      </w:r>
      <w:r w:rsidRPr="008B0983">
        <w:rPr>
          <w:rFonts w:asciiTheme="minorHAnsi" w:eastAsiaTheme="minorHAnsi" w:hAnsiTheme="minorHAnsi" w:cstheme="minorHAnsi"/>
        </w:rPr>
        <w:t xml:space="preserve">has improved more recently due to the fall in unemployment (5.3% as at 2017, falling from a high of 10.8% recorded 2009/10) and general economic growth in the area. However, the average gross weekly wage in the city remains </w:t>
      </w:r>
      <w:r w:rsidR="008B0983" w:rsidRPr="008B0983">
        <w:rPr>
          <w:rFonts w:asciiTheme="minorHAnsi" w:eastAsiaTheme="minorHAnsi" w:hAnsiTheme="minorHAnsi" w:cstheme="minorHAnsi"/>
        </w:rPr>
        <w:t>lower tha</w:t>
      </w:r>
      <w:r w:rsidR="00414684">
        <w:rPr>
          <w:rFonts w:asciiTheme="minorHAnsi" w:eastAsiaTheme="minorHAnsi" w:hAnsiTheme="minorHAnsi" w:cstheme="minorHAnsi"/>
        </w:rPr>
        <w:t>n</w:t>
      </w:r>
      <w:r w:rsidR="008B0983" w:rsidRPr="008B0983">
        <w:rPr>
          <w:rFonts w:asciiTheme="minorHAnsi" w:eastAsiaTheme="minorHAnsi" w:hAnsiTheme="minorHAnsi" w:cstheme="minorHAnsi"/>
        </w:rPr>
        <w:t xml:space="preserve"> the average for the North West region (</w:t>
      </w:r>
      <w:proofErr w:type="spellStart"/>
      <w:r w:rsidR="008B0983" w:rsidRPr="008B0983">
        <w:rPr>
          <w:rFonts w:asciiTheme="minorHAnsi" w:eastAsiaTheme="minorHAnsi" w:hAnsiTheme="minorHAnsi" w:cstheme="minorHAnsi"/>
        </w:rPr>
        <w:t>nomis</w:t>
      </w:r>
      <w:proofErr w:type="spellEnd"/>
      <w:r w:rsidR="008B0983" w:rsidRPr="008B0983">
        <w:rPr>
          <w:rFonts w:asciiTheme="minorHAnsi" w:eastAsiaTheme="minorHAnsi" w:hAnsiTheme="minorHAnsi" w:cstheme="minorHAnsi"/>
        </w:rPr>
        <w:t>, 2020).</w:t>
      </w:r>
    </w:p>
    <w:p w14:paraId="0573B24E" w14:textId="77777777" w:rsidR="008B0983" w:rsidRPr="008B0983" w:rsidRDefault="008B0983" w:rsidP="008B0983">
      <w:pPr>
        <w:spacing w:line="360" w:lineRule="auto"/>
        <w:jc w:val="both"/>
        <w:rPr>
          <w:rFonts w:asciiTheme="minorHAnsi" w:eastAsiaTheme="minorHAnsi" w:hAnsiTheme="minorHAnsi" w:cstheme="minorHAnsi"/>
        </w:rPr>
      </w:pPr>
    </w:p>
    <w:p w14:paraId="428C1DC6" w14:textId="58890279" w:rsidR="008B0983" w:rsidRPr="008B0983" w:rsidRDefault="008B0983" w:rsidP="008B0983">
      <w:pPr>
        <w:spacing w:line="360" w:lineRule="auto"/>
        <w:jc w:val="both"/>
        <w:rPr>
          <w:rFonts w:asciiTheme="minorHAnsi" w:eastAsiaTheme="minorHAnsi" w:hAnsiTheme="minorHAnsi" w:cstheme="minorHAnsi"/>
        </w:rPr>
      </w:pPr>
      <w:r w:rsidRPr="008B0983">
        <w:rPr>
          <w:rFonts w:asciiTheme="minorHAnsi" w:eastAsiaTheme="minorHAnsi" w:hAnsiTheme="minorHAnsi" w:cstheme="minorHAnsi"/>
        </w:rPr>
        <w:t>Renown as a port with a long maritime history, shipping and port related activities remain important in the city with transport and storage generating 5.5% of the economic output in 2017, albeit down from 6.2% in 2000. Manufacturing and production have also contracted over the study period. Previously 12.6% and 14.6% of GVA generated in 2000, they represented 9.3% and 10.6% in 2017, respectively. Over the same period the service sector grew by 36.8% and now represents 84.7% of GVA generated by the local economy (ONS, 2019).</w:t>
      </w:r>
    </w:p>
    <w:p w14:paraId="145EFAB1" w14:textId="77777777" w:rsidR="008B0983" w:rsidRPr="008B0983" w:rsidRDefault="008B0983" w:rsidP="008B0983">
      <w:pPr>
        <w:spacing w:line="360" w:lineRule="auto"/>
        <w:jc w:val="both"/>
        <w:rPr>
          <w:rFonts w:asciiTheme="minorHAnsi" w:eastAsiaTheme="minorHAnsi" w:hAnsiTheme="minorHAnsi" w:cstheme="minorHAnsi"/>
        </w:rPr>
      </w:pPr>
    </w:p>
    <w:p w14:paraId="05AB7C7E" w14:textId="2A8501D2" w:rsidR="002C4DD7" w:rsidRPr="008B0983" w:rsidRDefault="008B0983" w:rsidP="008B0983">
      <w:pPr>
        <w:spacing w:line="360" w:lineRule="auto"/>
        <w:jc w:val="both"/>
        <w:rPr>
          <w:rFonts w:asciiTheme="minorHAnsi" w:eastAsiaTheme="minorHAnsi" w:hAnsiTheme="minorHAnsi" w:cstheme="minorHAnsi"/>
        </w:rPr>
      </w:pPr>
      <w:r w:rsidRPr="008B0983">
        <w:rPr>
          <w:rFonts w:asciiTheme="minorHAnsi" w:eastAsiaTheme="minorHAnsi" w:hAnsiTheme="minorHAnsi" w:cstheme="minorHAnsi"/>
        </w:rPr>
        <w:t xml:space="preserve">Liverpool has established itself as a major tourist destination as a legacy of its European Capital of Culture status in 2008. In 2015 there were approximately 1.43 million trips to Liverpool which, generated about £294 million in expenditure (Kantar TNS, 2018). Of the visitors in 2017 over 111,000 travelled into the city via the Liverpool Cruise Terminal which opened in 2007 (Bond, </w:t>
      </w:r>
      <w:r w:rsidRPr="008B0983">
        <w:rPr>
          <w:rFonts w:asciiTheme="minorHAnsi" w:eastAsiaTheme="minorHAnsi" w:hAnsiTheme="minorHAnsi" w:cstheme="minorHAnsi"/>
        </w:rPr>
        <w:lastRenderedPageBreak/>
        <w:t>2017). T</w:t>
      </w:r>
      <w:r w:rsidR="00FE032A" w:rsidRPr="008B0983">
        <w:rPr>
          <w:rFonts w:asciiTheme="minorHAnsi" w:eastAsiaTheme="minorHAnsi" w:hAnsiTheme="minorHAnsi" w:cstheme="minorHAnsi"/>
        </w:rPr>
        <w:t xml:space="preserve">op </w:t>
      </w:r>
      <w:r>
        <w:rPr>
          <w:rFonts w:asciiTheme="minorHAnsi" w:eastAsiaTheme="minorHAnsi" w:hAnsiTheme="minorHAnsi" w:cstheme="minorHAnsi"/>
        </w:rPr>
        <w:t xml:space="preserve">visitor </w:t>
      </w:r>
      <w:r w:rsidR="00FE032A" w:rsidRPr="008B0983">
        <w:rPr>
          <w:rFonts w:asciiTheme="minorHAnsi" w:eastAsiaTheme="minorHAnsi" w:hAnsiTheme="minorHAnsi" w:cstheme="minorHAnsi"/>
        </w:rPr>
        <w:t xml:space="preserve">attractions </w:t>
      </w:r>
      <w:r w:rsidR="00491773" w:rsidRPr="008B0983">
        <w:rPr>
          <w:rFonts w:asciiTheme="minorHAnsi" w:eastAsiaTheme="minorHAnsi" w:hAnsiTheme="minorHAnsi" w:cstheme="minorHAnsi"/>
        </w:rPr>
        <w:t xml:space="preserve">tend to be located along the city’s waterfront, just to the south of the retailing centre, and includes the historic </w:t>
      </w:r>
      <w:r w:rsidR="00FE032A" w:rsidRPr="008B0983">
        <w:rPr>
          <w:rFonts w:asciiTheme="minorHAnsi" w:eastAsiaTheme="minorHAnsi" w:hAnsiTheme="minorHAnsi" w:cstheme="minorHAnsi"/>
        </w:rPr>
        <w:t>Albert Dock</w:t>
      </w:r>
      <w:r w:rsidR="00491773" w:rsidRPr="008B0983">
        <w:rPr>
          <w:rFonts w:asciiTheme="minorHAnsi" w:eastAsiaTheme="minorHAnsi" w:hAnsiTheme="minorHAnsi" w:cstheme="minorHAnsi"/>
        </w:rPr>
        <w:t xml:space="preserve"> and </w:t>
      </w:r>
      <w:r w:rsidR="00FE032A" w:rsidRPr="008B0983">
        <w:rPr>
          <w:rFonts w:asciiTheme="minorHAnsi" w:eastAsiaTheme="minorHAnsi" w:hAnsiTheme="minorHAnsi" w:cstheme="minorHAnsi"/>
        </w:rPr>
        <w:t xml:space="preserve">Tate Liverpool </w:t>
      </w:r>
      <w:r w:rsidR="00491773" w:rsidRPr="008B0983">
        <w:rPr>
          <w:rFonts w:asciiTheme="minorHAnsi" w:eastAsiaTheme="minorHAnsi" w:hAnsiTheme="minorHAnsi" w:cstheme="minorHAnsi"/>
        </w:rPr>
        <w:t>, Mersey Maritime Museum, Open Eye Gallery and The Beatles Story</w:t>
      </w:r>
      <w:r w:rsidR="00844551" w:rsidRPr="008B0983">
        <w:rPr>
          <w:rFonts w:asciiTheme="minorHAnsi" w:eastAsiaTheme="minorHAnsi" w:hAnsiTheme="minorHAnsi" w:cstheme="minorHAnsi"/>
        </w:rPr>
        <w:t>.</w:t>
      </w:r>
    </w:p>
    <w:p w14:paraId="3ABF64CE" w14:textId="5B8AFC6A" w:rsidR="00FF1B70" w:rsidRPr="008B0983" w:rsidRDefault="00FF1B70" w:rsidP="00073091">
      <w:pPr>
        <w:spacing w:line="360" w:lineRule="auto"/>
        <w:jc w:val="both"/>
        <w:rPr>
          <w:rFonts w:asciiTheme="minorHAnsi" w:eastAsiaTheme="minorHAnsi" w:hAnsiTheme="minorHAnsi" w:cstheme="minorHAnsi"/>
        </w:rPr>
      </w:pPr>
    </w:p>
    <w:p w14:paraId="7C543B6F" w14:textId="43CBA3BD" w:rsidR="00844551" w:rsidRPr="008B0983" w:rsidRDefault="00FF1B70" w:rsidP="00073091">
      <w:pPr>
        <w:spacing w:line="360" w:lineRule="auto"/>
        <w:jc w:val="both"/>
        <w:rPr>
          <w:rFonts w:asciiTheme="minorHAnsi" w:eastAsiaTheme="minorHAnsi" w:hAnsiTheme="minorHAnsi" w:cstheme="minorHAnsi"/>
        </w:rPr>
      </w:pPr>
      <w:r w:rsidRPr="008B0983">
        <w:rPr>
          <w:rFonts w:asciiTheme="minorHAnsi" w:eastAsiaTheme="minorHAnsi" w:hAnsiTheme="minorHAnsi" w:cstheme="minorHAnsi"/>
        </w:rPr>
        <w:t xml:space="preserve">Liverpool is relatively well connected. It is well integrated into the national road and rail network with a choice of River Mersey crossings - two road tunnels directly connecting the city to the Wirral and the M53, the Silver Jubilee Bridge, and </w:t>
      </w:r>
      <w:r w:rsidR="006E187C">
        <w:rPr>
          <w:rFonts w:asciiTheme="minorHAnsi" w:eastAsiaTheme="minorHAnsi" w:hAnsiTheme="minorHAnsi" w:cstheme="minorHAnsi"/>
        </w:rPr>
        <w:t>the Mersey Gateway B</w:t>
      </w:r>
      <w:r w:rsidRPr="008B0983">
        <w:rPr>
          <w:rFonts w:asciiTheme="minorHAnsi" w:eastAsiaTheme="minorHAnsi" w:hAnsiTheme="minorHAnsi" w:cstheme="minorHAnsi"/>
        </w:rPr>
        <w:t xml:space="preserve">ridge, which </w:t>
      </w:r>
      <w:r w:rsidR="006E187C">
        <w:rPr>
          <w:rFonts w:asciiTheme="minorHAnsi" w:eastAsiaTheme="minorHAnsi" w:hAnsiTheme="minorHAnsi" w:cstheme="minorHAnsi"/>
        </w:rPr>
        <w:t xml:space="preserve">is a toll bridge that </w:t>
      </w:r>
      <w:r w:rsidRPr="008B0983">
        <w:rPr>
          <w:rFonts w:asciiTheme="minorHAnsi" w:eastAsiaTheme="minorHAnsi" w:hAnsiTheme="minorHAnsi" w:cstheme="minorHAnsi"/>
        </w:rPr>
        <w:t>opened 2017.</w:t>
      </w:r>
      <w:r w:rsidR="00971647" w:rsidRPr="008B0983">
        <w:rPr>
          <w:rFonts w:asciiTheme="minorHAnsi" w:eastAsiaTheme="minorHAnsi" w:hAnsiTheme="minorHAnsi" w:cstheme="minorHAnsi"/>
        </w:rPr>
        <w:t xml:space="preserve"> Two rail lines (the </w:t>
      </w:r>
      <w:r w:rsidRPr="008B0983">
        <w:rPr>
          <w:rFonts w:asciiTheme="minorHAnsi" w:eastAsiaTheme="minorHAnsi" w:hAnsiTheme="minorHAnsi" w:cstheme="minorHAnsi"/>
        </w:rPr>
        <w:t>Wirral Line</w:t>
      </w:r>
      <w:r w:rsidR="00971647" w:rsidRPr="008B0983">
        <w:rPr>
          <w:rFonts w:asciiTheme="minorHAnsi" w:eastAsiaTheme="minorHAnsi" w:hAnsiTheme="minorHAnsi" w:cstheme="minorHAnsi"/>
        </w:rPr>
        <w:t xml:space="preserve"> which </w:t>
      </w:r>
      <w:r w:rsidRPr="008B0983">
        <w:rPr>
          <w:rFonts w:asciiTheme="minorHAnsi" w:eastAsiaTheme="minorHAnsi" w:hAnsiTheme="minorHAnsi" w:cstheme="minorHAnsi"/>
        </w:rPr>
        <w:t xml:space="preserve">links Liverpool with </w:t>
      </w:r>
      <w:r w:rsidR="006E187C">
        <w:rPr>
          <w:rFonts w:asciiTheme="minorHAnsi" w:eastAsiaTheme="minorHAnsi" w:hAnsiTheme="minorHAnsi" w:cstheme="minorHAnsi"/>
        </w:rPr>
        <w:t xml:space="preserve">the </w:t>
      </w:r>
      <w:r w:rsidRPr="008B0983">
        <w:rPr>
          <w:rFonts w:asciiTheme="minorHAnsi" w:eastAsiaTheme="minorHAnsi" w:hAnsiTheme="minorHAnsi" w:cstheme="minorHAnsi"/>
        </w:rPr>
        <w:t>W</w:t>
      </w:r>
      <w:r w:rsidR="00971647" w:rsidRPr="008B0983">
        <w:rPr>
          <w:rFonts w:asciiTheme="minorHAnsi" w:eastAsiaTheme="minorHAnsi" w:hAnsiTheme="minorHAnsi" w:cstheme="minorHAnsi"/>
        </w:rPr>
        <w:t xml:space="preserve">irral </w:t>
      </w:r>
      <w:r w:rsidR="00DD7AB0" w:rsidRPr="008B0983">
        <w:rPr>
          <w:rFonts w:asciiTheme="minorHAnsi" w:eastAsiaTheme="minorHAnsi" w:hAnsiTheme="minorHAnsi" w:cstheme="minorHAnsi"/>
        </w:rPr>
        <w:t>Peninsula</w:t>
      </w:r>
      <w:r w:rsidR="00971647" w:rsidRPr="008B0983">
        <w:rPr>
          <w:rFonts w:asciiTheme="minorHAnsi" w:eastAsiaTheme="minorHAnsi" w:hAnsiTheme="minorHAnsi" w:cstheme="minorHAnsi"/>
        </w:rPr>
        <w:t xml:space="preserve"> and the </w:t>
      </w:r>
      <w:r w:rsidRPr="008B0983">
        <w:rPr>
          <w:rFonts w:asciiTheme="minorHAnsi" w:eastAsiaTheme="minorHAnsi" w:hAnsiTheme="minorHAnsi" w:cstheme="minorHAnsi"/>
        </w:rPr>
        <w:t>Northern Line</w:t>
      </w:r>
      <w:r w:rsidR="00971647" w:rsidRPr="008B0983">
        <w:rPr>
          <w:rFonts w:asciiTheme="minorHAnsi" w:eastAsiaTheme="minorHAnsi" w:hAnsiTheme="minorHAnsi" w:cstheme="minorHAnsi"/>
        </w:rPr>
        <w:t xml:space="preserve">) provide an efficient service </w:t>
      </w:r>
      <w:r w:rsidR="00DB13A1" w:rsidRPr="008B0983">
        <w:rPr>
          <w:rFonts w:asciiTheme="minorHAnsi" w:eastAsiaTheme="minorHAnsi" w:hAnsiTheme="minorHAnsi" w:cstheme="minorHAnsi"/>
        </w:rPr>
        <w:t xml:space="preserve">into </w:t>
      </w:r>
      <w:r w:rsidR="00971647" w:rsidRPr="008B0983">
        <w:rPr>
          <w:rFonts w:asciiTheme="minorHAnsi" w:eastAsiaTheme="minorHAnsi" w:hAnsiTheme="minorHAnsi" w:cstheme="minorHAnsi"/>
        </w:rPr>
        <w:t xml:space="preserve">the city centre which is served </w:t>
      </w:r>
      <w:r w:rsidR="00DB13A1" w:rsidRPr="008B0983">
        <w:rPr>
          <w:rFonts w:asciiTheme="minorHAnsi" w:eastAsiaTheme="minorHAnsi" w:hAnsiTheme="minorHAnsi" w:cstheme="minorHAnsi"/>
        </w:rPr>
        <w:t xml:space="preserve">by </w:t>
      </w:r>
      <w:r w:rsidR="00971647" w:rsidRPr="008B0983">
        <w:rPr>
          <w:rFonts w:asciiTheme="minorHAnsi" w:eastAsiaTheme="minorHAnsi" w:hAnsiTheme="minorHAnsi" w:cstheme="minorHAnsi"/>
        </w:rPr>
        <w:t xml:space="preserve">four rail stations. Two bus stations </w:t>
      </w:r>
      <w:r w:rsidR="006E187C">
        <w:rPr>
          <w:rFonts w:asciiTheme="minorHAnsi" w:eastAsiaTheme="minorHAnsi" w:hAnsiTheme="minorHAnsi" w:cstheme="minorHAnsi"/>
        </w:rPr>
        <w:t xml:space="preserve">are </w:t>
      </w:r>
      <w:r w:rsidR="00971647" w:rsidRPr="008B0983">
        <w:rPr>
          <w:rFonts w:asciiTheme="minorHAnsi" w:eastAsiaTheme="minorHAnsi" w:hAnsiTheme="minorHAnsi" w:cstheme="minorHAnsi"/>
        </w:rPr>
        <w:t xml:space="preserve">currently </w:t>
      </w:r>
      <w:r w:rsidR="006E187C">
        <w:rPr>
          <w:rFonts w:asciiTheme="minorHAnsi" w:eastAsiaTheme="minorHAnsi" w:hAnsiTheme="minorHAnsi" w:cstheme="minorHAnsi"/>
        </w:rPr>
        <w:t xml:space="preserve">located in the city centre. </w:t>
      </w:r>
      <w:r w:rsidR="00971647" w:rsidRPr="008B0983">
        <w:rPr>
          <w:rFonts w:asciiTheme="minorHAnsi" w:eastAsiaTheme="minorHAnsi" w:hAnsiTheme="minorHAnsi" w:cstheme="minorHAnsi"/>
        </w:rPr>
        <w:t xml:space="preserve">Queen Square Bus Station to the north of the city centre while the bus station towards the south end of Paradise Street was replaced in 2005 as part of the Liverpool One development project. </w:t>
      </w:r>
      <w:r w:rsidR="00073091" w:rsidRPr="008B0983">
        <w:rPr>
          <w:rFonts w:asciiTheme="minorHAnsi" w:eastAsiaTheme="minorHAnsi" w:hAnsiTheme="minorHAnsi" w:cstheme="minorHAnsi"/>
        </w:rPr>
        <w:t>Both stations run local and national services as t</w:t>
      </w:r>
      <w:r w:rsidR="00971647" w:rsidRPr="008B0983">
        <w:rPr>
          <w:rFonts w:asciiTheme="minorHAnsi" w:eastAsiaTheme="minorHAnsi" w:hAnsiTheme="minorHAnsi" w:cstheme="minorHAnsi"/>
        </w:rPr>
        <w:t>he former Liverpool Coach Station on Norton Street closed in 2016.</w:t>
      </w:r>
    </w:p>
    <w:p w14:paraId="46105C11" w14:textId="77777777" w:rsidR="001F2222" w:rsidRPr="008B0983" w:rsidRDefault="001F2222" w:rsidP="00073091">
      <w:pPr>
        <w:spacing w:line="360" w:lineRule="auto"/>
        <w:jc w:val="both"/>
        <w:rPr>
          <w:rFonts w:asciiTheme="minorHAnsi" w:eastAsiaTheme="minorHAnsi" w:hAnsiTheme="minorHAnsi" w:cstheme="minorHAnsi"/>
        </w:rPr>
      </w:pPr>
    </w:p>
    <w:p w14:paraId="1ED3AE5D" w14:textId="1B30C516" w:rsidR="002C4DD7" w:rsidRPr="00DB679D" w:rsidRDefault="002C4DD7" w:rsidP="006E187C">
      <w:pPr>
        <w:pStyle w:val="Heading2"/>
        <w:spacing w:before="0" w:line="360" w:lineRule="auto"/>
        <w:rPr>
          <w:rFonts w:asciiTheme="minorHAnsi" w:hAnsiTheme="minorHAnsi" w:cstheme="minorHAnsi"/>
          <w:b/>
          <w:bCs/>
          <w:i/>
          <w:iCs/>
          <w:sz w:val="24"/>
          <w:szCs w:val="24"/>
        </w:rPr>
      </w:pPr>
      <w:r w:rsidRPr="00DB679D">
        <w:rPr>
          <w:rFonts w:asciiTheme="minorHAnsi" w:hAnsiTheme="minorHAnsi" w:cstheme="minorHAnsi"/>
          <w:b/>
          <w:bCs/>
          <w:i/>
          <w:iCs/>
          <w:sz w:val="24"/>
          <w:szCs w:val="24"/>
        </w:rPr>
        <w:t>Nottingham</w:t>
      </w:r>
    </w:p>
    <w:p w14:paraId="10ABF94C" w14:textId="08D429F1" w:rsidR="0088073B" w:rsidRPr="008B0983" w:rsidRDefault="00DD7AB0" w:rsidP="00DB13A1">
      <w:pPr>
        <w:spacing w:line="360" w:lineRule="auto"/>
        <w:jc w:val="both"/>
        <w:rPr>
          <w:rFonts w:asciiTheme="minorHAnsi" w:eastAsiaTheme="minorHAnsi" w:hAnsiTheme="minorHAnsi" w:cstheme="minorHAnsi"/>
          <w:lang w:eastAsia="en-US"/>
        </w:rPr>
      </w:pPr>
      <w:r w:rsidRPr="008B0983">
        <w:rPr>
          <w:rFonts w:asciiTheme="minorHAnsi" w:eastAsiaTheme="minorHAnsi" w:hAnsiTheme="minorHAnsi" w:cstheme="minorHAnsi"/>
          <w:lang w:eastAsia="en-US"/>
        </w:rPr>
        <w:t xml:space="preserve">Nottingham is the third largest centre under study and spans an area of </w:t>
      </w:r>
      <w:r w:rsidR="00B20F92" w:rsidRPr="008B0983">
        <w:rPr>
          <w:rFonts w:asciiTheme="minorHAnsi" w:eastAsiaTheme="minorHAnsi" w:hAnsiTheme="minorHAnsi" w:cstheme="minorHAnsi"/>
          <w:lang w:eastAsia="en-US"/>
        </w:rPr>
        <w:t>0.585</w:t>
      </w:r>
      <w:r w:rsidRPr="008B0983">
        <w:rPr>
          <w:rFonts w:asciiTheme="minorHAnsi" w:eastAsiaTheme="minorHAnsi" w:hAnsiTheme="minorHAnsi" w:cstheme="minorHAnsi"/>
          <w:lang w:eastAsia="en-US"/>
        </w:rPr>
        <w:t>km</w:t>
      </w:r>
      <w:r w:rsidRPr="008B0983">
        <w:rPr>
          <w:rFonts w:asciiTheme="minorHAnsi" w:eastAsiaTheme="minorHAnsi" w:hAnsiTheme="minorHAnsi" w:cstheme="minorHAnsi"/>
          <w:vertAlign w:val="superscript"/>
          <w:lang w:eastAsia="en-US"/>
        </w:rPr>
        <w:t>2</w:t>
      </w:r>
      <w:r w:rsidRPr="008B0983">
        <w:rPr>
          <w:rFonts w:asciiTheme="minorHAnsi" w:eastAsiaTheme="minorHAnsi" w:hAnsiTheme="minorHAnsi" w:cstheme="minorHAnsi"/>
          <w:lang w:eastAsia="en-US"/>
        </w:rPr>
        <w:t xml:space="preserve"> (</w:t>
      </w:r>
      <w:r w:rsidR="00B20F92" w:rsidRPr="008B0983">
        <w:rPr>
          <w:rFonts w:asciiTheme="minorHAnsi" w:eastAsiaTheme="minorHAnsi" w:hAnsiTheme="minorHAnsi" w:cstheme="minorHAnsi"/>
          <w:lang w:eastAsia="en-US"/>
        </w:rPr>
        <w:t>0.226 square miles</w:t>
      </w:r>
      <w:r w:rsidRPr="008B0983">
        <w:rPr>
          <w:rFonts w:asciiTheme="minorHAnsi" w:eastAsiaTheme="minorHAnsi" w:hAnsiTheme="minorHAnsi" w:cstheme="minorHAnsi"/>
          <w:lang w:eastAsia="en-US"/>
        </w:rPr>
        <w:t>) but is probably the least changed in terms of new retail space being added during the study period.</w:t>
      </w:r>
    </w:p>
    <w:p w14:paraId="075FBFAB" w14:textId="7F48B120" w:rsidR="009D7796" w:rsidRPr="008B0983" w:rsidRDefault="009D7796" w:rsidP="00DB13A1">
      <w:pPr>
        <w:spacing w:line="360" w:lineRule="auto"/>
        <w:jc w:val="both"/>
        <w:rPr>
          <w:rFonts w:asciiTheme="minorHAnsi" w:eastAsiaTheme="minorHAnsi" w:hAnsiTheme="minorHAnsi" w:cstheme="minorHAnsi"/>
          <w:lang w:eastAsia="en-US"/>
        </w:rPr>
      </w:pPr>
    </w:p>
    <w:p w14:paraId="3BCDAE0F" w14:textId="2A3B172E" w:rsidR="009D7796" w:rsidRPr="008B0983" w:rsidRDefault="009D7796" w:rsidP="009D7796">
      <w:pPr>
        <w:spacing w:line="360" w:lineRule="auto"/>
        <w:jc w:val="both"/>
        <w:rPr>
          <w:rFonts w:asciiTheme="minorHAnsi" w:eastAsiaTheme="minorHAnsi" w:hAnsiTheme="minorHAnsi" w:cstheme="minorHAnsi"/>
        </w:rPr>
      </w:pPr>
      <w:r w:rsidRPr="008B0983">
        <w:rPr>
          <w:rFonts w:asciiTheme="minorHAnsi" w:eastAsiaTheme="minorHAnsi" w:hAnsiTheme="minorHAnsi" w:cstheme="minorHAnsi"/>
        </w:rPr>
        <w:t xml:space="preserve">The retailing centre is a network of pedestrianised retail streets surrounding </w:t>
      </w:r>
      <w:r w:rsidR="008B0983" w:rsidRPr="008B0983">
        <w:rPr>
          <w:rFonts w:asciiTheme="minorHAnsi" w:eastAsiaTheme="minorHAnsi" w:hAnsiTheme="minorHAnsi" w:cstheme="minorHAnsi"/>
        </w:rPr>
        <w:t xml:space="preserve">the </w:t>
      </w:r>
      <w:r w:rsidRPr="008B0983">
        <w:rPr>
          <w:rFonts w:asciiTheme="minorHAnsi" w:eastAsiaTheme="minorHAnsi" w:hAnsiTheme="minorHAnsi" w:cstheme="minorHAnsi"/>
        </w:rPr>
        <w:t xml:space="preserve">Old Market Square and Council House. To the north of the retailing streets is Intu Victoria and to the south is Intu Broadmarsh. Both shopping centres were built in the 1970s with Intu Victoria extending in 2002/3. The refurbishment of Broadmarsh, was a long time in the planning, started 2019. One objective of the redeveloped </w:t>
      </w:r>
      <w:r w:rsidR="00C60413">
        <w:rPr>
          <w:rFonts w:asciiTheme="minorHAnsi" w:eastAsiaTheme="minorHAnsi" w:hAnsiTheme="minorHAnsi" w:cstheme="minorHAnsi"/>
        </w:rPr>
        <w:t>wa</w:t>
      </w:r>
      <w:r w:rsidRPr="008B0983">
        <w:rPr>
          <w:rFonts w:asciiTheme="minorHAnsi" w:eastAsiaTheme="minorHAnsi" w:hAnsiTheme="minorHAnsi" w:cstheme="minorHAnsi"/>
        </w:rPr>
        <w:t xml:space="preserve">s to </w:t>
      </w:r>
      <w:r w:rsidR="008B0983" w:rsidRPr="008B0983">
        <w:rPr>
          <w:rFonts w:asciiTheme="minorHAnsi" w:eastAsiaTheme="minorHAnsi" w:hAnsiTheme="minorHAnsi" w:cstheme="minorHAnsi"/>
        </w:rPr>
        <w:t>upgrade the</w:t>
      </w:r>
      <w:r w:rsidRPr="008B0983">
        <w:rPr>
          <w:rFonts w:asciiTheme="minorHAnsi" w:eastAsiaTheme="minorHAnsi" w:hAnsiTheme="minorHAnsi" w:cstheme="minorHAnsi"/>
        </w:rPr>
        <w:t xml:space="preserve"> access into the mall from the south-side </w:t>
      </w:r>
      <w:r w:rsidR="008B0983" w:rsidRPr="008B0983">
        <w:rPr>
          <w:rFonts w:asciiTheme="minorHAnsi" w:eastAsiaTheme="minorHAnsi" w:hAnsiTheme="minorHAnsi" w:cstheme="minorHAnsi"/>
        </w:rPr>
        <w:t>and</w:t>
      </w:r>
      <w:r w:rsidRPr="008B0983">
        <w:rPr>
          <w:rFonts w:asciiTheme="minorHAnsi" w:eastAsiaTheme="minorHAnsi" w:hAnsiTheme="minorHAnsi" w:cstheme="minorHAnsi"/>
        </w:rPr>
        <w:t xml:space="preserve"> improve connectivity between the railway station, the Old Market Square and the retailing street network. A new car park, bus station and library also form part of the redevelopment. The freeholders, Nottingham City Council, who took back control of the half-demolished site following the administration of Intu Properties, </w:t>
      </w:r>
      <w:r w:rsidR="004E5CCC">
        <w:rPr>
          <w:rFonts w:asciiTheme="minorHAnsi" w:eastAsiaTheme="minorHAnsi" w:hAnsiTheme="minorHAnsi" w:cstheme="minorHAnsi"/>
        </w:rPr>
        <w:t xml:space="preserve">have </w:t>
      </w:r>
      <w:r w:rsidR="00DB679D">
        <w:rPr>
          <w:rFonts w:asciiTheme="minorHAnsi" w:eastAsiaTheme="minorHAnsi" w:hAnsiTheme="minorHAnsi" w:cstheme="minorHAnsi"/>
        </w:rPr>
        <w:t xml:space="preserve">partially </w:t>
      </w:r>
      <w:r w:rsidRPr="008B0983">
        <w:rPr>
          <w:rFonts w:asciiTheme="minorHAnsi" w:eastAsiaTheme="minorHAnsi" w:hAnsiTheme="minorHAnsi" w:cstheme="minorHAnsi"/>
        </w:rPr>
        <w:t>demolish</w:t>
      </w:r>
      <w:r w:rsidR="004E5CCC">
        <w:rPr>
          <w:rFonts w:asciiTheme="minorHAnsi" w:eastAsiaTheme="minorHAnsi" w:hAnsiTheme="minorHAnsi" w:cstheme="minorHAnsi"/>
        </w:rPr>
        <w:t>ed</w:t>
      </w:r>
      <w:r w:rsidRPr="008B0983">
        <w:rPr>
          <w:rFonts w:asciiTheme="minorHAnsi" w:eastAsiaTheme="minorHAnsi" w:hAnsiTheme="minorHAnsi" w:cstheme="minorHAnsi"/>
        </w:rPr>
        <w:t xml:space="preserve"> the structure and </w:t>
      </w:r>
      <w:r w:rsidR="00DB679D">
        <w:rPr>
          <w:rFonts w:asciiTheme="minorHAnsi" w:eastAsiaTheme="minorHAnsi" w:hAnsiTheme="minorHAnsi" w:cstheme="minorHAnsi"/>
        </w:rPr>
        <w:t xml:space="preserve">intend to replace it with </w:t>
      </w:r>
      <w:r w:rsidRPr="008B0983">
        <w:rPr>
          <w:rFonts w:asciiTheme="minorHAnsi" w:eastAsiaTheme="minorHAnsi" w:hAnsiTheme="minorHAnsi" w:cstheme="minorHAnsi"/>
        </w:rPr>
        <w:t>a mixed</w:t>
      </w:r>
      <w:r w:rsidR="00864B9E">
        <w:rPr>
          <w:rFonts w:asciiTheme="minorHAnsi" w:eastAsiaTheme="minorHAnsi" w:hAnsiTheme="minorHAnsi" w:cstheme="minorHAnsi"/>
        </w:rPr>
        <w:t>-</w:t>
      </w:r>
      <w:r w:rsidRPr="008B0983">
        <w:rPr>
          <w:rFonts w:asciiTheme="minorHAnsi" w:eastAsiaTheme="minorHAnsi" w:hAnsiTheme="minorHAnsi" w:cstheme="minorHAnsi"/>
        </w:rPr>
        <w:t>use development.</w:t>
      </w:r>
    </w:p>
    <w:p w14:paraId="69AE528D" w14:textId="77777777" w:rsidR="009D7796" w:rsidRDefault="009D7796" w:rsidP="009D7796">
      <w:pPr>
        <w:spacing w:line="360" w:lineRule="auto"/>
        <w:jc w:val="both"/>
        <w:rPr>
          <w:rFonts w:asciiTheme="minorHAnsi" w:eastAsiaTheme="minorHAnsi" w:hAnsiTheme="minorHAnsi" w:cstheme="minorHAnsi"/>
          <w:sz w:val="22"/>
          <w:szCs w:val="22"/>
        </w:rPr>
      </w:pPr>
    </w:p>
    <w:p w14:paraId="5FA1CB6E" w14:textId="24C96838" w:rsidR="009D7796" w:rsidRPr="008B0983" w:rsidRDefault="009D7796" w:rsidP="009D7796">
      <w:pPr>
        <w:spacing w:line="360" w:lineRule="auto"/>
        <w:jc w:val="both"/>
        <w:rPr>
          <w:rFonts w:asciiTheme="minorHAnsi" w:eastAsiaTheme="minorHAnsi" w:hAnsiTheme="minorHAnsi" w:cstheme="minorHAnsi"/>
        </w:rPr>
      </w:pPr>
      <w:r w:rsidRPr="008B0983">
        <w:rPr>
          <w:rFonts w:asciiTheme="minorHAnsi" w:eastAsiaTheme="minorHAnsi" w:hAnsiTheme="minorHAnsi" w:cstheme="minorHAnsi"/>
        </w:rPr>
        <w:t xml:space="preserve">Clumber Street, High Street and </w:t>
      </w:r>
      <w:proofErr w:type="spellStart"/>
      <w:r w:rsidRPr="008B0983">
        <w:rPr>
          <w:rFonts w:asciiTheme="minorHAnsi" w:eastAsiaTheme="minorHAnsi" w:hAnsiTheme="minorHAnsi" w:cstheme="minorHAnsi"/>
        </w:rPr>
        <w:t>Bridlesmith</w:t>
      </w:r>
      <w:proofErr w:type="spellEnd"/>
      <w:r w:rsidRPr="008B0983">
        <w:rPr>
          <w:rFonts w:asciiTheme="minorHAnsi" w:eastAsiaTheme="minorHAnsi" w:hAnsiTheme="minorHAnsi" w:cstheme="minorHAnsi"/>
        </w:rPr>
        <w:t xml:space="preserve"> </w:t>
      </w:r>
      <w:r w:rsidR="006B4A0C">
        <w:rPr>
          <w:rFonts w:asciiTheme="minorHAnsi" w:eastAsiaTheme="minorHAnsi" w:hAnsiTheme="minorHAnsi" w:cstheme="minorHAnsi"/>
        </w:rPr>
        <w:t xml:space="preserve">Gate </w:t>
      </w:r>
      <w:r w:rsidRPr="008B0983">
        <w:rPr>
          <w:rFonts w:asciiTheme="minorHAnsi" w:eastAsiaTheme="minorHAnsi" w:hAnsiTheme="minorHAnsi" w:cstheme="minorHAnsi"/>
        </w:rPr>
        <w:t>have functioned as the traditional prime High Street, running north to south from Intu Victoria. Other streets attractive to national multiple</w:t>
      </w:r>
      <w:r w:rsidR="00C60413">
        <w:rPr>
          <w:rFonts w:asciiTheme="minorHAnsi" w:eastAsiaTheme="minorHAnsi" w:hAnsiTheme="minorHAnsi" w:cstheme="minorHAnsi"/>
        </w:rPr>
        <w:t xml:space="preserve"> </w:t>
      </w:r>
      <w:r w:rsidR="00C60413">
        <w:rPr>
          <w:rFonts w:asciiTheme="minorHAnsi" w:eastAsiaTheme="minorHAnsi" w:hAnsiTheme="minorHAnsi" w:cstheme="minorHAnsi"/>
        </w:rPr>
        <w:lastRenderedPageBreak/>
        <w:t>retailers</w:t>
      </w:r>
      <w:r w:rsidRPr="008B0983">
        <w:rPr>
          <w:rFonts w:asciiTheme="minorHAnsi" w:eastAsiaTheme="minorHAnsi" w:hAnsiTheme="minorHAnsi" w:cstheme="minorHAnsi"/>
        </w:rPr>
        <w:t xml:space="preserve"> include Albert Street, Lister Gate, Victoria Street, Pelham Street, Mid/Low Pavement, Long Row and Smithy Row.</w:t>
      </w:r>
    </w:p>
    <w:p w14:paraId="4EA63F24" w14:textId="77777777" w:rsidR="009D7796" w:rsidRDefault="009D7796" w:rsidP="009D7796">
      <w:pPr>
        <w:pStyle w:val="NoSpacing"/>
        <w:spacing w:line="360" w:lineRule="auto"/>
        <w:rPr>
          <w:rFonts w:cstheme="minorHAnsi"/>
          <w:sz w:val="20"/>
          <w:szCs w:val="20"/>
        </w:rPr>
      </w:pPr>
    </w:p>
    <w:p w14:paraId="1BD1B4F9" w14:textId="50FEC69A" w:rsidR="00177139" w:rsidRPr="00177139" w:rsidRDefault="00177139" w:rsidP="009D7796">
      <w:pPr>
        <w:spacing w:line="360" w:lineRule="auto"/>
        <w:rPr>
          <w:rFonts w:asciiTheme="minorHAnsi" w:eastAsiaTheme="minorHAnsi" w:hAnsiTheme="minorHAnsi" w:cstheme="minorHAnsi"/>
          <w:b/>
          <w:bCs/>
          <w:sz w:val="22"/>
          <w:szCs w:val="22"/>
        </w:rPr>
      </w:pPr>
      <w:r w:rsidRPr="00D520EF">
        <w:rPr>
          <w:rFonts w:asciiTheme="minorHAnsi" w:eastAsiaTheme="minorHAnsi" w:hAnsiTheme="minorHAnsi" w:cstheme="minorHAnsi"/>
          <w:b/>
          <w:bCs/>
          <w:sz w:val="22"/>
          <w:szCs w:val="22"/>
        </w:rPr>
        <w:t xml:space="preserve">Table </w:t>
      </w:r>
      <w:r>
        <w:rPr>
          <w:rFonts w:asciiTheme="minorHAnsi" w:eastAsiaTheme="minorHAnsi" w:hAnsiTheme="minorHAnsi" w:cstheme="minorHAnsi"/>
          <w:b/>
          <w:bCs/>
          <w:sz w:val="22"/>
          <w:szCs w:val="22"/>
        </w:rPr>
        <w:t>5</w:t>
      </w:r>
      <w:r w:rsidRPr="00D520EF">
        <w:rPr>
          <w:rFonts w:asciiTheme="minorHAnsi" w:eastAsiaTheme="minorHAnsi" w:hAnsiTheme="minorHAnsi" w:cstheme="minorHAnsi"/>
          <w:b/>
          <w:bCs/>
          <w:sz w:val="22"/>
          <w:szCs w:val="22"/>
        </w:rPr>
        <w:t xml:space="preserve">.  Retail Floorspace in </w:t>
      </w:r>
      <w:r w:rsidR="009D7796">
        <w:rPr>
          <w:rFonts w:asciiTheme="minorHAnsi" w:eastAsiaTheme="minorHAnsi" w:hAnsiTheme="minorHAnsi" w:cstheme="minorHAnsi"/>
          <w:b/>
          <w:bCs/>
          <w:sz w:val="22"/>
          <w:szCs w:val="22"/>
        </w:rPr>
        <w:t>Nottingham</w:t>
      </w:r>
    </w:p>
    <w:tbl>
      <w:tblPr>
        <w:tblW w:w="9710" w:type="dxa"/>
        <w:tblBorders>
          <w:top w:val="double" w:sz="18" w:space="0" w:color="548DD4" w:themeColor="text2" w:themeTint="99"/>
          <w:left w:val="double" w:sz="18" w:space="0" w:color="548DD4" w:themeColor="text2" w:themeTint="99"/>
          <w:bottom w:val="double" w:sz="18" w:space="0" w:color="548DD4" w:themeColor="text2" w:themeTint="99"/>
          <w:right w:val="double" w:sz="18" w:space="0" w:color="548DD4" w:themeColor="text2" w:themeTint="99"/>
          <w:insideH w:val="dashSmallGap" w:sz="18" w:space="0" w:color="548DD4" w:themeColor="text2" w:themeTint="99"/>
          <w:insideV w:val="dashSmallGap" w:sz="18" w:space="0" w:color="548DD4" w:themeColor="text2" w:themeTint="99"/>
        </w:tblBorders>
        <w:tblLook w:val="04A0" w:firstRow="1" w:lastRow="0" w:firstColumn="1" w:lastColumn="0" w:noHBand="0" w:noVBand="1"/>
      </w:tblPr>
      <w:tblGrid>
        <w:gridCol w:w="2561"/>
        <w:gridCol w:w="1326"/>
        <w:gridCol w:w="1385"/>
        <w:gridCol w:w="1455"/>
        <w:gridCol w:w="2983"/>
      </w:tblGrid>
      <w:tr w:rsidR="002C4DD7" w:rsidRPr="00AE050F" w14:paraId="3C5330FB" w14:textId="77777777" w:rsidTr="001A66EE">
        <w:trPr>
          <w:trHeight w:val="567"/>
        </w:trPr>
        <w:tc>
          <w:tcPr>
            <w:tcW w:w="2561" w:type="dxa"/>
            <w:vMerge w:val="restart"/>
            <w:tcBorders>
              <w:top w:val="triple" w:sz="4" w:space="0" w:color="548DD4" w:themeColor="text2" w:themeTint="99"/>
              <w:left w:val="triple" w:sz="4" w:space="0" w:color="548DD4" w:themeColor="text2" w:themeTint="99"/>
              <w:bottom w:val="single" w:sz="4" w:space="0" w:color="548DD4" w:themeColor="text2" w:themeTint="99"/>
              <w:right w:val="dashSmallGap" w:sz="2" w:space="0" w:color="548DD4" w:themeColor="text2" w:themeTint="99"/>
            </w:tcBorders>
            <w:shd w:val="clear" w:color="auto" w:fill="8DB3E2" w:themeFill="text2" w:themeFillTint="66"/>
            <w:vAlign w:val="center"/>
            <w:hideMark/>
          </w:tcPr>
          <w:p w14:paraId="38ECCAFE" w14:textId="55A33F72" w:rsidR="002C4DD7" w:rsidRPr="00AE050F" w:rsidRDefault="00CA69F3" w:rsidP="00B15FBD">
            <w:pPr>
              <w:ind w:firstLine="142"/>
              <w:jc w:val="center"/>
              <w:rPr>
                <w:rFonts w:ascii="Calibri" w:hAnsi="Calibri"/>
                <w:b/>
                <w:bCs/>
                <w:color w:val="000000"/>
                <w:sz w:val="22"/>
                <w:szCs w:val="22"/>
              </w:rPr>
            </w:pPr>
            <w:r>
              <w:rPr>
                <w:rFonts w:ascii="Calibri" w:hAnsi="Calibri"/>
                <w:b/>
                <w:bCs/>
                <w:color w:val="000000"/>
                <w:sz w:val="22"/>
                <w:szCs w:val="22"/>
              </w:rPr>
              <w:t>Type of Floorspace</w:t>
            </w:r>
          </w:p>
        </w:tc>
        <w:tc>
          <w:tcPr>
            <w:tcW w:w="1326" w:type="dxa"/>
            <w:vMerge w:val="restart"/>
            <w:tcBorders>
              <w:top w:val="triple" w:sz="4" w:space="0" w:color="548DD4" w:themeColor="text2" w:themeTint="99"/>
              <w:left w:val="dashSmallGap" w:sz="2" w:space="0" w:color="548DD4" w:themeColor="text2" w:themeTint="99"/>
              <w:bottom w:val="single" w:sz="4" w:space="0" w:color="548DD4" w:themeColor="text2" w:themeTint="99"/>
              <w:right w:val="dashSmallGap" w:sz="2" w:space="0" w:color="548DD4" w:themeColor="text2" w:themeTint="99"/>
            </w:tcBorders>
            <w:shd w:val="clear" w:color="auto" w:fill="8DB3E2" w:themeFill="text2" w:themeFillTint="66"/>
            <w:vAlign w:val="center"/>
            <w:hideMark/>
          </w:tcPr>
          <w:p w14:paraId="6F343555" w14:textId="77777777" w:rsidR="002C4DD7" w:rsidRPr="00AE050F" w:rsidRDefault="002C4DD7" w:rsidP="00B15FBD">
            <w:pPr>
              <w:ind w:firstLine="142"/>
              <w:jc w:val="center"/>
              <w:rPr>
                <w:rFonts w:ascii="Calibri" w:hAnsi="Calibri"/>
                <w:b/>
                <w:bCs/>
                <w:color w:val="000000"/>
                <w:sz w:val="22"/>
                <w:szCs w:val="22"/>
              </w:rPr>
            </w:pPr>
            <w:r w:rsidRPr="00AE050F">
              <w:rPr>
                <w:rFonts w:ascii="Calibri" w:hAnsi="Calibri"/>
                <w:b/>
                <w:bCs/>
                <w:color w:val="000000"/>
                <w:sz w:val="22"/>
                <w:szCs w:val="22"/>
              </w:rPr>
              <w:t>Estimated Floor Area</w:t>
            </w:r>
          </w:p>
        </w:tc>
        <w:tc>
          <w:tcPr>
            <w:tcW w:w="1385" w:type="dxa"/>
            <w:vMerge w:val="restart"/>
            <w:tcBorders>
              <w:top w:val="triple" w:sz="4" w:space="0" w:color="548DD4" w:themeColor="text2" w:themeTint="99"/>
              <w:left w:val="dashSmallGap" w:sz="2" w:space="0" w:color="548DD4" w:themeColor="text2" w:themeTint="99"/>
              <w:bottom w:val="single" w:sz="4" w:space="0" w:color="548DD4" w:themeColor="text2" w:themeTint="99"/>
              <w:right w:val="dashSmallGap" w:sz="2" w:space="0" w:color="548DD4" w:themeColor="text2" w:themeTint="99"/>
            </w:tcBorders>
            <w:shd w:val="clear" w:color="auto" w:fill="8DB3E2" w:themeFill="text2" w:themeFillTint="66"/>
            <w:vAlign w:val="center"/>
            <w:hideMark/>
          </w:tcPr>
          <w:p w14:paraId="40EEED86" w14:textId="167FB090" w:rsidR="002C4DD7" w:rsidRPr="00AE050F" w:rsidRDefault="002C4DD7" w:rsidP="00B15FBD">
            <w:pPr>
              <w:ind w:firstLine="142"/>
              <w:jc w:val="center"/>
              <w:rPr>
                <w:rFonts w:ascii="Calibri" w:hAnsi="Calibri"/>
                <w:b/>
                <w:bCs/>
                <w:color w:val="000000"/>
                <w:sz w:val="22"/>
                <w:szCs w:val="22"/>
              </w:rPr>
            </w:pPr>
            <w:r w:rsidRPr="00AE050F">
              <w:rPr>
                <w:rFonts w:ascii="Calibri" w:hAnsi="Calibri" w:cstheme="minorHAnsi"/>
                <w:b/>
                <w:bCs/>
                <w:color w:val="000000"/>
                <w:sz w:val="22"/>
                <w:szCs w:val="22"/>
              </w:rPr>
              <w:t xml:space="preserve">2017/18 </w:t>
            </w:r>
            <w:r w:rsidR="001A66EE">
              <w:rPr>
                <w:rFonts w:ascii="Calibri" w:hAnsi="Calibri" w:cstheme="minorHAnsi"/>
                <w:b/>
                <w:bCs/>
                <w:color w:val="000000"/>
                <w:sz w:val="22"/>
                <w:szCs w:val="22"/>
              </w:rPr>
              <w:t>S</w:t>
            </w:r>
            <w:r w:rsidRPr="00AE050F">
              <w:rPr>
                <w:rFonts w:ascii="Calibri" w:hAnsi="Calibri" w:cstheme="minorHAnsi"/>
                <w:b/>
                <w:bCs/>
                <w:color w:val="000000"/>
                <w:sz w:val="22"/>
                <w:szCs w:val="22"/>
              </w:rPr>
              <w:t xml:space="preserve">ize </w:t>
            </w:r>
            <w:r w:rsidR="001A66EE">
              <w:rPr>
                <w:rFonts w:ascii="Calibri" w:hAnsi="Calibri" w:cstheme="minorHAnsi"/>
                <w:b/>
                <w:bCs/>
                <w:color w:val="000000"/>
                <w:sz w:val="22"/>
                <w:szCs w:val="22"/>
              </w:rPr>
              <w:t>(</w:t>
            </w:r>
            <w:r w:rsidRPr="00AE050F">
              <w:rPr>
                <w:rFonts w:ascii="Calibri" w:hAnsi="Calibri" w:cstheme="minorHAnsi"/>
                <w:b/>
                <w:bCs/>
                <w:color w:val="000000"/>
                <w:sz w:val="22"/>
                <w:szCs w:val="22"/>
              </w:rPr>
              <w:t>square metre</w:t>
            </w:r>
            <w:r w:rsidR="001A66EE">
              <w:rPr>
                <w:rFonts w:ascii="Calibri" w:hAnsi="Calibri" w:cstheme="minorHAnsi"/>
                <w:b/>
                <w:bCs/>
                <w:color w:val="000000"/>
                <w:sz w:val="22"/>
                <w:szCs w:val="22"/>
              </w:rPr>
              <w:t>)</w:t>
            </w:r>
          </w:p>
        </w:tc>
        <w:tc>
          <w:tcPr>
            <w:tcW w:w="1455" w:type="dxa"/>
            <w:vMerge w:val="restart"/>
            <w:tcBorders>
              <w:top w:val="triple" w:sz="4" w:space="0" w:color="548DD4" w:themeColor="text2" w:themeTint="99"/>
              <w:left w:val="dashSmallGap" w:sz="2" w:space="0" w:color="548DD4" w:themeColor="text2" w:themeTint="99"/>
              <w:bottom w:val="single" w:sz="4" w:space="0" w:color="548DD4" w:themeColor="text2" w:themeTint="99"/>
              <w:right w:val="dashSmallGap" w:sz="2" w:space="0" w:color="548DD4" w:themeColor="text2" w:themeTint="99"/>
            </w:tcBorders>
            <w:shd w:val="clear" w:color="auto" w:fill="8DB3E2" w:themeFill="text2" w:themeFillTint="66"/>
            <w:vAlign w:val="center"/>
            <w:hideMark/>
          </w:tcPr>
          <w:p w14:paraId="291AFA09" w14:textId="636BB074" w:rsidR="002C4DD7" w:rsidRPr="00AE050F" w:rsidRDefault="00CA69F3" w:rsidP="00B15FBD">
            <w:pPr>
              <w:ind w:firstLine="142"/>
              <w:jc w:val="center"/>
              <w:rPr>
                <w:rFonts w:ascii="Calibri" w:hAnsi="Calibri"/>
                <w:b/>
                <w:bCs/>
                <w:color w:val="000000"/>
                <w:sz w:val="22"/>
                <w:szCs w:val="22"/>
              </w:rPr>
            </w:pPr>
            <w:r>
              <w:rPr>
                <w:rFonts w:ascii="Calibri" w:hAnsi="Calibri" w:cstheme="minorHAnsi"/>
                <w:b/>
                <w:bCs/>
                <w:color w:val="000000"/>
                <w:sz w:val="22"/>
                <w:szCs w:val="22"/>
              </w:rPr>
              <w:t xml:space="preserve">Mall </w:t>
            </w:r>
            <w:r w:rsidR="002C4DD7" w:rsidRPr="00AE050F">
              <w:rPr>
                <w:rFonts w:ascii="Calibri" w:hAnsi="Calibri" w:cstheme="minorHAnsi"/>
                <w:b/>
                <w:bCs/>
                <w:color w:val="000000"/>
                <w:sz w:val="22"/>
                <w:szCs w:val="22"/>
              </w:rPr>
              <w:t xml:space="preserve"> </w:t>
            </w:r>
            <w:r>
              <w:rPr>
                <w:rFonts w:ascii="Calibri" w:hAnsi="Calibri" w:cstheme="minorHAnsi"/>
                <w:b/>
                <w:bCs/>
                <w:color w:val="000000"/>
                <w:sz w:val="22"/>
                <w:szCs w:val="22"/>
              </w:rPr>
              <w:t>O</w:t>
            </w:r>
            <w:r w:rsidR="002C4DD7" w:rsidRPr="00AE050F">
              <w:rPr>
                <w:rFonts w:ascii="Calibri" w:hAnsi="Calibri" w:cstheme="minorHAnsi"/>
                <w:b/>
                <w:bCs/>
                <w:color w:val="000000"/>
                <w:sz w:val="22"/>
                <w:szCs w:val="22"/>
              </w:rPr>
              <w:t>pening</w:t>
            </w:r>
          </w:p>
        </w:tc>
        <w:tc>
          <w:tcPr>
            <w:tcW w:w="2983" w:type="dxa"/>
            <w:vMerge w:val="restart"/>
            <w:tcBorders>
              <w:top w:val="triple" w:sz="4" w:space="0" w:color="548DD4" w:themeColor="text2" w:themeTint="99"/>
              <w:left w:val="dashSmallGap" w:sz="2" w:space="0" w:color="548DD4" w:themeColor="text2" w:themeTint="99"/>
              <w:bottom w:val="single" w:sz="4" w:space="0" w:color="548DD4" w:themeColor="text2" w:themeTint="99"/>
              <w:right w:val="triple" w:sz="4" w:space="0" w:color="548DD4" w:themeColor="text2" w:themeTint="99"/>
            </w:tcBorders>
            <w:shd w:val="clear" w:color="auto" w:fill="8DB3E2" w:themeFill="text2" w:themeFillTint="66"/>
            <w:vAlign w:val="center"/>
            <w:hideMark/>
          </w:tcPr>
          <w:p w14:paraId="0AF6E245" w14:textId="77777777" w:rsidR="002C4DD7" w:rsidRPr="00AE050F" w:rsidRDefault="002C4DD7" w:rsidP="00B15FBD">
            <w:pPr>
              <w:ind w:firstLine="142"/>
              <w:jc w:val="center"/>
              <w:rPr>
                <w:rFonts w:ascii="Calibri" w:hAnsi="Calibri"/>
                <w:b/>
                <w:bCs/>
                <w:color w:val="000000"/>
                <w:sz w:val="22"/>
                <w:szCs w:val="22"/>
              </w:rPr>
            </w:pPr>
            <w:r w:rsidRPr="00AE050F">
              <w:rPr>
                <w:rFonts w:ascii="Calibri" w:hAnsi="Calibri"/>
                <w:b/>
                <w:bCs/>
                <w:color w:val="000000"/>
                <w:sz w:val="22"/>
                <w:szCs w:val="22"/>
              </w:rPr>
              <w:t>Refurbishment/Extension</w:t>
            </w:r>
          </w:p>
        </w:tc>
      </w:tr>
      <w:tr w:rsidR="002C4DD7" w:rsidRPr="00AE050F" w14:paraId="2D4E2376" w14:textId="77777777" w:rsidTr="001A66EE">
        <w:trPr>
          <w:trHeight w:val="517"/>
        </w:trPr>
        <w:tc>
          <w:tcPr>
            <w:tcW w:w="2561" w:type="dxa"/>
            <w:vMerge/>
            <w:tcBorders>
              <w:top w:val="dashSmallGap" w:sz="18" w:space="0" w:color="548DD4" w:themeColor="text2" w:themeTint="99"/>
              <w:left w:val="triple" w:sz="4" w:space="0" w:color="548DD4" w:themeColor="text2" w:themeTint="99"/>
              <w:bottom w:val="single" w:sz="4" w:space="0" w:color="548DD4" w:themeColor="text2" w:themeTint="99"/>
              <w:right w:val="dashSmallGap" w:sz="2" w:space="0" w:color="548DD4" w:themeColor="text2" w:themeTint="99"/>
            </w:tcBorders>
            <w:shd w:val="clear" w:color="auto" w:fill="8DB3E2" w:themeFill="text2" w:themeFillTint="66"/>
            <w:vAlign w:val="center"/>
            <w:hideMark/>
          </w:tcPr>
          <w:p w14:paraId="5E8AE4B3" w14:textId="77777777" w:rsidR="002C4DD7" w:rsidRPr="00AE050F" w:rsidRDefault="002C4DD7" w:rsidP="00B15FBD">
            <w:pPr>
              <w:ind w:firstLine="142"/>
              <w:rPr>
                <w:rFonts w:ascii="Calibri" w:hAnsi="Calibri"/>
                <w:b/>
                <w:bCs/>
                <w:color w:val="000000"/>
                <w:sz w:val="22"/>
                <w:szCs w:val="22"/>
              </w:rPr>
            </w:pPr>
          </w:p>
        </w:tc>
        <w:tc>
          <w:tcPr>
            <w:tcW w:w="1326" w:type="dxa"/>
            <w:vMerge/>
            <w:tcBorders>
              <w:top w:val="dashSmallGap" w:sz="18" w:space="0" w:color="548DD4" w:themeColor="text2" w:themeTint="99"/>
              <w:left w:val="dashSmallGap" w:sz="2" w:space="0" w:color="548DD4" w:themeColor="text2" w:themeTint="99"/>
              <w:bottom w:val="single" w:sz="4" w:space="0" w:color="548DD4" w:themeColor="text2" w:themeTint="99"/>
              <w:right w:val="dashSmallGap" w:sz="2" w:space="0" w:color="548DD4" w:themeColor="text2" w:themeTint="99"/>
            </w:tcBorders>
            <w:shd w:val="clear" w:color="auto" w:fill="8DB3E2" w:themeFill="text2" w:themeFillTint="66"/>
            <w:vAlign w:val="center"/>
            <w:hideMark/>
          </w:tcPr>
          <w:p w14:paraId="117486DD" w14:textId="77777777" w:rsidR="002C4DD7" w:rsidRPr="00AE050F" w:rsidRDefault="002C4DD7" w:rsidP="00B15FBD">
            <w:pPr>
              <w:ind w:firstLine="142"/>
              <w:jc w:val="center"/>
              <w:rPr>
                <w:rFonts w:ascii="Calibri" w:hAnsi="Calibri"/>
                <w:b/>
                <w:bCs/>
                <w:color w:val="000000"/>
                <w:sz w:val="22"/>
                <w:szCs w:val="22"/>
              </w:rPr>
            </w:pPr>
          </w:p>
        </w:tc>
        <w:tc>
          <w:tcPr>
            <w:tcW w:w="1385" w:type="dxa"/>
            <w:vMerge/>
            <w:tcBorders>
              <w:top w:val="dashSmallGap" w:sz="18" w:space="0" w:color="548DD4" w:themeColor="text2" w:themeTint="99"/>
              <w:left w:val="dashSmallGap" w:sz="2" w:space="0" w:color="548DD4" w:themeColor="text2" w:themeTint="99"/>
              <w:bottom w:val="single" w:sz="4" w:space="0" w:color="548DD4" w:themeColor="text2" w:themeTint="99"/>
              <w:right w:val="dashSmallGap" w:sz="2" w:space="0" w:color="548DD4" w:themeColor="text2" w:themeTint="99"/>
            </w:tcBorders>
            <w:shd w:val="clear" w:color="auto" w:fill="8DB3E2" w:themeFill="text2" w:themeFillTint="66"/>
            <w:vAlign w:val="center"/>
            <w:hideMark/>
          </w:tcPr>
          <w:p w14:paraId="3E668BFA" w14:textId="77777777" w:rsidR="002C4DD7" w:rsidRPr="00AE050F" w:rsidRDefault="002C4DD7" w:rsidP="00B15FBD">
            <w:pPr>
              <w:ind w:firstLine="142"/>
              <w:rPr>
                <w:rFonts w:ascii="Calibri" w:hAnsi="Calibri"/>
                <w:b/>
                <w:bCs/>
                <w:color w:val="000000"/>
                <w:sz w:val="22"/>
                <w:szCs w:val="22"/>
              </w:rPr>
            </w:pPr>
          </w:p>
        </w:tc>
        <w:tc>
          <w:tcPr>
            <w:tcW w:w="1455" w:type="dxa"/>
            <w:vMerge/>
            <w:tcBorders>
              <w:top w:val="dashSmallGap" w:sz="18" w:space="0" w:color="548DD4" w:themeColor="text2" w:themeTint="99"/>
              <w:left w:val="dashSmallGap" w:sz="2" w:space="0" w:color="548DD4" w:themeColor="text2" w:themeTint="99"/>
              <w:bottom w:val="single" w:sz="4" w:space="0" w:color="548DD4" w:themeColor="text2" w:themeTint="99"/>
              <w:right w:val="dashSmallGap" w:sz="2" w:space="0" w:color="548DD4" w:themeColor="text2" w:themeTint="99"/>
            </w:tcBorders>
            <w:shd w:val="clear" w:color="auto" w:fill="8DB3E2" w:themeFill="text2" w:themeFillTint="66"/>
            <w:vAlign w:val="center"/>
            <w:hideMark/>
          </w:tcPr>
          <w:p w14:paraId="7F14B86E" w14:textId="77777777" w:rsidR="002C4DD7" w:rsidRPr="00AE050F" w:rsidRDefault="002C4DD7" w:rsidP="00B15FBD">
            <w:pPr>
              <w:ind w:firstLine="142"/>
              <w:rPr>
                <w:rFonts w:ascii="Calibri" w:hAnsi="Calibri"/>
                <w:b/>
                <w:bCs/>
                <w:color w:val="000000"/>
                <w:sz w:val="22"/>
                <w:szCs w:val="22"/>
              </w:rPr>
            </w:pPr>
          </w:p>
        </w:tc>
        <w:tc>
          <w:tcPr>
            <w:tcW w:w="2983" w:type="dxa"/>
            <w:vMerge/>
            <w:tcBorders>
              <w:top w:val="dashSmallGap" w:sz="18" w:space="0" w:color="548DD4" w:themeColor="text2" w:themeTint="99"/>
              <w:left w:val="dashSmallGap" w:sz="2" w:space="0" w:color="548DD4" w:themeColor="text2" w:themeTint="99"/>
              <w:bottom w:val="single" w:sz="4" w:space="0" w:color="548DD4" w:themeColor="text2" w:themeTint="99"/>
              <w:right w:val="triple" w:sz="4" w:space="0" w:color="548DD4" w:themeColor="text2" w:themeTint="99"/>
            </w:tcBorders>
            <w:shd w:val="clear" w:color="auto" w:fill="8DB3E2" w:themeFill="text2" w:themeFillTint="66"/>
            <w:vAlign w:val="center"/>
            <w:hideMark/>
          </w:tcPr>
          <w:p w14:paraId="58F44028" w14:textId="77777777" w:rsidR="002C4DD7" w:rsidRPr="00AE050F" w:rsidRDefault="002C4DD7" w:rsidP="00B15FBD">
            <w:pPr>
              <w:ind w:firstLine="142"/>
              <w:rPr>
                <w:rFonts w:ascii="Calibri" w:hAnsi="Calibri"/>
                <w:b/>
                <w:bCs/>
                <w:color w:val="000000"/>
                <w:sz w:val="22"/>
                <w:szCs w:val="22"/>
              </w:rPr>
            </w:pPr>
          </w:p>
        </w:tc>
      </w:tr>
      <w:tr w:rsidR="002C4DD7" w:rsidRPr="00AE050F" w14:paraId="5ABA0A48" w14:textId="77777777" w:rsidTr="001A66EE">
        <w:trPr>
          <w:trHeight w:val="340"/>
        </w:trPr>
        <w:tc>
          <w:tcPr>
            <w:tcW w:w="9710" w:type="dxa"/>
            <w:gridSpan w:val="5"/>
            <w:tcBorders>
              <w:top w:val="single" w:sz="4" w:space="0" w:color="548DD4" w:themeColor="text2" w:themeTint="99"/>
              <w:left w:val="triple" w:sz="4" w:space="0" w:color="548DD4" w:themeColor="text2" w:themeTint="99"/>
              <w:bottom w:val="single" w:sz="4" w:space="0" w:color="548DD4" w:themeColor="text2" w:themeTint="99"/>
              <w:right w:val="triple" w:sz="4" w:space="0" w:color="548DD4" w:themeColor="text2" w:themeTint="99"/>
            </w:tcBorders>
            <w:shd w:val="clear" w:color="auto" w:fill="auto"/>
            <w:vAlign w:val="center"/>
            <w:hideMark/>
          </w:tcPr>
          <w:p w14:paraId="29B3330C" w14:textId="77777777" w:rsidR="002C4DD7" w:rsidRPr="00AE050F" w:rsidRDefault="002C4DD7" w:rsidP="00B15FBD">
            <w:pPr>
              <w:ind w:firstLine="142"/>
              <w:jc w:val="center"/>
              <w:rPr>
                <w:rFonts w:ascii="Calibri" w:hAnsi="Calibri"/>
                <w:b/>
                <w:bCs/>
                <w:color w:val="000000"/>
                <w:sz w:val="22"/>
                <w:szCs w:val="22"/>
              </w:rPr>
            </w:pPr>
            <w:r w:rsidRPr="00AE050F">
              <w:rPr>
                <w:rFonts w:ascii="Calibri" w:hAnsi="Calibri" w:cstheme="minorHAnsi"/>
                <w:b/>
                <w:bCs/>
                <w:color w:val="000000"/>
                <w:sz w:val="22"/>
                <w:szCs w:val="22"/>
              </w:rPr>
              <w:t>Metropolitan Centre</w:t>
            </w:r>
            <w:r>
              <w:rPr>
                <w:rFonts w:ascii="Calibri" w:hAnsi="Calibri" w:cstheme="minorHAnsi"/>
                <w:b/>
                <w:bCs/>
                <w:color w:val="000000"/>
                <w:sz w:val="22"/>
                <w:szCs w:val="22"/>
              </w:rPr>
              <w:t xml:space="preserve"> – Nottingham</w:t>
            </w:r>
          </w:p>
        </w:tc>
      </w:tr>
      <w:tr w:rsidR="002C4DD7" w:rsidRPr="00AE050F" w14:paraId="622D5665" w14:textId="77777777" w:rsidTr="001A66EE">
        <w:trPr>
          <w:trHeight w:val="380"/>
        </w:trPr>
        <w:tc>
          <w:tcPr>
            <w:tcW w:w="2561" w:type="dxa"/>
            <w:tcBorders>
              <w:top w:val="single" w:sz="4" w:space="0" w:color="548DD4" w:themeColor="text2" w:themeTint="99"/>
              <w:left w:val="triple" w:sz="4" w:space="0" w:color="548DD4" w:themeColor="text2" w:themeTint="99"/>
              <w:bottom w:val="dashSmallGap" w:sz="2" w:space="0" w:color="548DD4" w:themeColor="text2" w:themeTint="99"/>
              <w:right w:val="dashSmallGap" w:sz="2" w:space="0" w:color="548DD4" w:themeColor="text2" w:themeTint="99"/>
            </w:tcBorders>
            <w:shd w:val="clear" w:color="auto" w:fill="auto"/>
            <w:vAlign w:val="center"/>
            <w:hideMark/>
          </w:tcPr>
          <w:p w14:paraId="2E294B77" w14:textId="545D8418" w:rsidR="002C4DD7" w:rsidRPr="00AE050F" w:rsidRDefault="00CA69F3" w:rsidP="00CA69F3">
            <w:pPr>
              <w:ind w:left="-5" w:firstLine="5"/>
              <w:rPr>
                <w:rFonts w:ascii="Calibri" w:hAnsi="Calibri"/>
                <w:b/>
                <w:bCs/>
                <w:i/>
                <w:iCs/>
                <w:color w:val="000000"/>
                <w:sz w:val="22"/>
                <w:szCs w:val="22"/>
              </w:rPr>
            </w:pPr>
            <w:r>
              <w:rPr>
                <w:rFonts w:ascii="Calibri" w:hAnsi="Calibri"/>
                <w:b/>
                <w:bCs/>
                <w:i/>
                <w:iCs/>
                <w:color w:val="000000"/>
                <w:sz w:val="22"/>
                <w:szCs w:val="22"/>
              </w:rPr>
              <w:t>“High Street” units</w:t>
            </w:r>
          </w:p>
        </w:tc>
        <w:tc>
          <w:tcPr>
            <w:tcW w:w="1326" w:type="dxa"/>
            <w:tcBorders>
              <w:top w:val="single" w:sz="4" w:space="0" w:color="548DD4" w:themeColor="text2" w:themeTint="99"/>
              <w:left w:val="dashSmallGap" w:sz="2" w:space="0" w:color="548DD4" w:themeColor="text2" w:themeTint="99"/>
              <w:bottom w:val="dashSmallGap" w:sz="2" w:space="0" w:color="548DD4" w:themeColor="text2" w:themeTint="99"/>
              <w:right w:val="dashSmallGap" w:sz="2" w:space="0" w:color="548DD4" w:themeColor="text2" w:themeTint="99"/>
            </w:tcBorders>
            <w:shd w:val="clear" w:color="auto" w:fill="auto"/>
            <w:vAlign w:val="center"/>
            <w:hideMark/>
          </w:tcPr>
          <w:p w14:paraId="0140EFDF" w14:textId="77777777" w:rsidR="002C4DD7" w:rsidRPr="00AE050F" w:rsidRDefault="002C4DD7" w:rsidP="00B15FBD">
            <w:pPr>
              <w:ind w:firstLine="142"/>
              <w:jc w:val="center"/>
              <w:rPr>
                <w:rFonts w:ascii="Calibri" w:hAnsi="Calibri"/>
                <w:b/>
                <w:bCs/>
                <w:i/>
                <w:iCs/>
                <w:color w:val="000000"/>
                <w:sz w:val="22"/>
                <w:szCs w:val="22"/>
              </w:rPr>
            </w:pPr>
            <w:r w:rsidRPr="00AE050F">
              <w:rPr>
                <w:rFonts w:ascii="Calibri" w:hAnsi="Calibri"/>
                <w:b/>
                <w:bCs/>
                <w:i/>
                <w:iCs/>
                <w:color w:val="000000"/>
                <w:sz w:val="22"/>
                <w:szCs w:val="22"/>
              </w:rPr>
              <w:t>108,980</w:t>
            </w:r>
          </w:p>
        </w:tc>
        <w:tc>
          <w:tcPr>
            <w:tcW w:w="1385" w:type="dxa"/>
            <w:tcBorders>
              <w:top w:val="single" w:sz="4" w:space="0" w:color="548DD4" w:themeColor="text2" w:themeTint="99"/>
              <w:left w:val="dashSmallGap" w:sz="2" w:space="0" w:color="548DD4" w:themeColor="text2" w:themeTint="99"/>
              <w:bottom w:val="dashSmallGap" w:sz="2" w:space="0" w:color="548DD4" w:themeColor="text2" w:themeTint="99"/>
              <w:right w:val="dashSmallGap" w:sz="2" w:space="0" w:color="548DD4" w:themeColor="text2" w:themeTint="99"/>
            </w:tcBorders>
            <w:shd w:val="clear" w:color="auto" w:fill="auto"/>
            <w:noWrap/>
            <w:vAlign w:val="bottom"/>
            <w:hideMark/>
          </w:tcPr>
          <w:p w14:paraId="333EF71C" w14:textId="77777777" w:rsidR="002C4DD7" w:rsidRPr="00AE050F" w:rsidRDefault="002C4DD7" w:rsidP="00B15FBD">
            <w:pPr>
              <w:ind w:firstLine="142"/>
              <w:jc w:val="center"/>
              <w:rPr>
                <w:rFonts w:ascii="Calibri" w:hAnsi="Calibri"/>
                <w:color w:val="000000"/>
                <w:sz w:val="22"/>
                <w:szCs w:val="22"/>
              </w:rPr>
            </w:pPr>
          </w:p>
        </w:tc>
        <w:tc>
          <w:tcPr>
            <w:tcW w:w="1455" w:type="dxa"/>
            <w:tcBorders>
              <w:top w:val="single" w:sz="4" w:space="0" w:color="548DD4" w:themeColor="text2" w:themeTint="99"/>
              <w:left w:val="dashSmallGap" w:sz="2" w:space="0" w:color="548DD4" w:themeColor="text2" w:themeTint="99"/>
              <w:bottom w:val="dashSmallGap" w:sz="2" w:space="0" w:color="548DD4" w:themeColor="text2" w:themeTint="99"/>
              <w:right w:val="dashSmallGap" w:sz="2" w:space="0" w:color="548DD4" w:themeColor="text2" w:themeTint="99"/>
            </w:tcBorders>
            <w:shd w:val="clear" w:color="auto" w:fill="auto"/>
            <w:vAlign w:val="center"/>
            <w:hideMark/>
          </w:tcPr>
          <w:p w14:paraId="119AB063" w14:textId="77777777" w:rsidR="002C4DD7" w:rsidRPr="00AE050F" w:rsidRDefault="002C4DD7" w:rsidP="00B15FBD">
            <w:pPr>
              <w:ind w:firstLine="142"/>
              <w:jc w:val="center"/>
              <w:rPr>
                <w:rFonts w:ascii="Calibri" w:hAnsi="Calibri"/>
                <w:b/>
                <w:bCs/>
                <w:i/>
                <w:iCs/>
                <w:color w:val="000000"/>
                <w:sz w:val="22"/>
                <w:szCs w:val="22"/>
              </w:rPr>
            </w:pPr>
          </w:p>
        </w:tc>
        <w:tc>
          <w:tcPr>
            <w:tcW w:w="2983" w:type="dxa"/>
            <w:tcBorders>
              <w:top w:val="single" w:sz="4" w:space="0" w:color="548DD4" w:themeColor="text2" w:themeTint="99"/>
              <w:left w:val="dashSmallGap" w:sz="2" w:space="0" w:color="548DD4" w:themeColor="text2" w:themeTint="99"/>
              <w:bottom w:val="dashSmallGap" w:sz="2" w:space="0" w:color="548DD4" w:themeColor="text2" w:themeTint="99"/>
              <w:right w:val="triple" w:sz="4" w:space="0" w:color="548DD4" w:themeColor="text2" w:themeTint="99"/>
            </w:tcBorders>
            <w:shd w:val="clear" w:color="auto" w:fill="auto"/>
            <w:vAlign w:val="center"/>
            <w:hideMark/>
          </w:tcPr>
          <w:p w14:paraId="766D8251" w14:textId="77777777" w:rsidR="002C4DD7" w:rsidRPr="00AE050F" w:rsidRDefault="002C4DD7" w:rsidP="00B15FBD">
            <w:pPr>
              <w:ind w:firstLine="142"/>
              <w:rPr>
                <w:rFonts w:ascii="Calibri" w:hAnsi="Calibri"/>
                <w:color w:val="000000"/>
                <w:sz w:val="22"/>
                <w:szCs w:val="22"/>
              </w:rPr>
            </w:pPr>
          </w:p>
        </w:tc>
      </w:tr>
      <w:tr w:rsidR="002C4DD7" w:rsidRPr="00AE050F" w14:paraId="526A9725" w14:textId="77777777" w:rsidTr="006B4A0C">
        <w:trPr>
          <w:trHeight w:val="1050"/>
        </w:trPr>
        <w:tc>
          <w:tcPr>
            <w:tcW w:w="2561" w:type="dxa"/>
            <w:tcBorders>
              <w:top w:val="dashSmallGap" w:sz="2" w:space="0" w:color="548DD4" w:themeColor="text2" w:themeTint="99"/>
              <w:left w:val="triple" w:sz="4" w:space="0" w:color="548DD4" w:themeColor="text2" w:themeTint="99"/>
              <w:bottom w:val="dashSmallGap" w:sz="2" w:space="0" w:color="548DD4" w:themeColor="text2" w:themeTint="99"/>
              <w:right w:val="dashSmallGap" w:sz="2" w:space="0" w:color="548DD4" w:themeColor="text2" w:themeTint="99"/>
            </w:tcBorders>
            <w:shd w:val="clear" w:color="auto" w:fill="auto"/>
            <w:vAlign w:val="center"/>
            <w:hideMark/>
          </w:tcPr>
          <w:p w14:paraId="005857C2" w14:textId="77777777" w:rsidR="002C4DD7" w:rsidRPr="00AE050F" w:rsidRDefault="002C4DD7" w:rsidP="00CA69F3">
            <w:pPr>
              <w:ind w:left="-5" w:firstLine="5"/>
              <w:rPr>
                <w:rFonts w:ascii="Calibri" w:hAnsi="Calibri"/>
                <w:color w:val="000000"/>
                <w:sz w:val="22"/>
                <w:szCs w:val="22"/>
              </w:rPr>
            </w:pPr>
            <w:r w:rsidRPr="00AE050F">
              <w:rPr>
                <w:rFonts w:ascii="Calibri" w:hAnsi="Calibri" w:cstheme="minorHAnsi"/>
                <w:color w:val="000000"/>
                <w:sz w:val="22"/>
                <w:szCs w:val="22"/>
              </w:rPr>
              <w:t>Intu Broadmarsh</w:t>
            </w:r>
          </w:p>
        </w:tc>
        <w:tc>
          <w:tcPr>
            <w:tcW w:w="1326" w:type="dxa"/>
            <w:tcBorders>
              <w:top w:val="dashSmallGap" w:sz="2" w:space="0" w:color="548DD4" w:themeColor="text2" w:themeTint="99"/>
              <w:left w:val="dashSmallGap" w:sz="2" w:space="0" w:color="548DD4" w:themeColor="text2" w:themeTint="99"/>
              <w:bottom w:val="dashSmallGap" w:sz="2" w:space="0" w:color="548DD4" w:themeColor="text2" w:themeTint="99"/>
              <w:right w:val="dashSmallGap" w:sz="2" w:space="0" w:color="548DD4" w:themeColor="text2" w:themeTint="99"/>
            </w:tcBorders>
            <w:shd w:val="clear" w:color="auto" w:fill="auto"/>
            <w:noWrap/>
            <w:vAlign w:val="bottom"/>
            <w:hideMark/>
          </w:tcPr>
          <w:p w14:paraId="582B52A4" w14:textId="77777777" w:rsidR="002C4DD7" w:rsidRPr="00AE050F" w:rsidRDefault="002C4DD7" w:rsidP="00B15FBD">
            <w:pPr>
              <w:ind w:firstLine="142"/>
              <w:jc w:val="center"/>
              <w:rPr>
                <w:rFonts w:ascii="Calibri" w:hAnsi="Calibri"/>
                <w:color w:val="000000"/>
                <w:sz w:val="22"/>
                <w:szCs w:val="22"/>
              </w:rPr>
            </w:pPr>
          </w:p>
        </w:tc>
        <w:tc>
          <w:tcPr>
            <w:tcW w:w="1385" w:type="dxa"/>
            <w:tcBorders>
              <w:top w:val="dashSmallGap" w:sz="2" w:space="0" w:color="548DD4" w:themeColor="text2" w:themeTint="99"/>
              <w:left w:val="dashSmallGap" w:sz="2" w:space="0" w:color="548DD4" w:themeColor="text2" w:themeTint="99"/>
              <w:bottom w:val="dashSmallGap" w:sz="2" w:space="0" w:color="548DD4" w:themeColor="text2" w:themeTint="99"/>
              <w:right w:val="dashSmallGap" w:sz="2" w:space="0" w:color="548DD4" w:themeColor="text2" w:themeTint="99"/>
            </w:tcBorders>
            <w:shd w:val="clear" w:color="auto" w:fill="auto"/>
            <w:vAlign w:val="center"/>
            <w:hideMark/>
          </w:tcPr>
          <w:p w14:paraId="110E3B05"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olor w:val="000000"/>
                <w:sz w:val="22"/>
                <w:szCs w:val="22"/>
              </w:rPr>
              <w:t>41,800</w:t>
            </w:r>
          </w:p>
        </w:tc>
        <w:tc>
          <w:tcPr>
            <w:tcW w:w="1455" w:type="dxa"/>
            <w:tcBorders>
              <w:top w:val="dashSmallGap" w:sz="2" w:space="0" w:color="548DD4" w:themeColor="text2" w:themeTint="99"/>
              <w:left w:val="dashSmallGap" w:sz="2" w:space="0" w:color="548DD4" w:themeColor="text2" w:themeTint="99"/>
              <w:bottom w:val="dashSmallGap" w:sz="2" w:space="0" w:color="548DD4" w:themeColor="text2" w:themeTint="99"/>
              <w:right w:val="dashSmallGap" w:sz="2" w:space="0" w:color="548DD4" w:themeColor="text2" w:themeTint="99"/>
            </w:tcBorders>
            <w:shd w:val="clear" w:color="auto" w:fill="auto"/>
            <w:vAlign w:val="center"/>
            <w:hideMark/>
          </w:tcPr>
          <w:p w14:paraId="69FADDB8"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1973</w:t>
            </w:r>
          </w:p>
        </w:tc>
        <w:tc>
          <w:tcPr>
            <w:tcW w:w="2983" w:type="dxa"/>
            <w:tcBorders>
              <w:top w:val="dashSmallGap" w:sz="2" w:space="0" w:color="548DD4" w:themeColor="text2" w:themeTint="99"/>
              <w:left w:val="dashSmallGap" w:sz="2" w:space="0" w:color="548DD4" w:themeColor="text2" w:themeTint="99"/>
              <w:bottom w:val="dashSmallGap" w:sz="2" w:space="0" w:color="548DD4" w:themeColor="text2" w:themeTint="99"/>
              <w:right w:val="triple" w:sz="4" w:space="0" w:color="548DD4" w:themeColor="text2" w:themeTint="99"/>
            </w:tcBorders>
            <w:shd w:val="clear" w:color="auto" w:fill="auto"/>
            <w:vAlign w:val="center"/>
            <w:hideMark/>
          </w:tcPr>
          <w:p w14:paraId="5818D0CE" w14:textId="77777777" w:rsidR="002C4DD7" w:rsidRDefault="002C4DD7" w:rsidP="00B15FBD">
            <w:pPr>
              <w:ind w:hanging="37"/>
              <w:rPr>
                <w:rFonts w:ascii="Calibri" w:hAnsi="Calibri"/>
                <w:color w:val="000000"/>
                <w:sz w:val="22"/>
                <w:szCs w:val="22"/>
              </w:rPr>
            </w:pPr>
            <w:r w:rsidRPr="00AE050F">
              <w:rPr>
                <w:rFonts w:ascii="Calibri" w:hAnsi="Calibri"/>
                <w:color w:val="000000"/>
                <w:sz w:val="22"/>
                <w:szCs w:val="22"/>
              </w:rPr>
              <w:t>Redevelopment started 2019</w:t>
            </w:r>
          </w:p>
          <w:p w14:paraId="4B0F5D6E" w14:textId="77777777" w:rsidR="002C4DD7" w:rsidRDefault="002C4DD7" w:rsidP="00B15FBD">
            <w:pPr>
              <w:ind w:hanging="37"/>
              <w:rPr>
                <w:rFonts w:ascii="Calibri" w:hAnsi="Calibri"/>
                <w:color w:val="000000"/>
                <w:sz w:val="22"/>
                <w:szCs w:val="22"/>
              </w:rPr>
            </w:pPr>
            <w:r w:rsidRPr="00AE050F">
              <w:rPr>
                <w:rFonts w:ascii="Calibri" w:hAnsi="Calibri"/>
                <w:color w:val="000000"/>
                <w:sz w:val="22"/>
                <w:szCs w:val="22"/>
              </w:rPr>
              <w:t>Refurbished 2013</w:t>
            </w:r>
          </w:p>
          <w:p w14:paraId="278022B3" w14:textId="77777777" w:rsidR="002C4DD7" w:rsidRDefault="002C4DD7" w:rsidP="00B15FBD">
            <w:pPr>
              <w:ind w:hanging="37"/>
              <w:rPr>
                <w:rFonts w:ascii="Calibri" w:hAnsi="Calibri"/>
                <w:color w:val="000000"/>
                <w:sz w:val="22"/>
                <w:szCs w:val="22"/>
              </w:rPr>
            </w:pPr>
            <w:r w:rsidRPr="00AE050F">
              <w:rPr>
                <w:rFonts w:ascii="Calibri" w:hAnsi="Calibri"/>
                <w:color w:val="000000"/>
                <w:sz w:val="22"/>
                <w:szCs w:val="22"/>
              </w:rPr>
              <w:t xml:space="preserve">Major refurbishment 2008                                        </w:t>
            </w:r>
          </w:p>
          <w:p w14:paraId="79BFE96B" w14:textId="77777777" w:rsidR="002C4DD7" w:rsidRPr="00AE050F" w:rsidRDefault="002C4DD7" w:rsidP="00B15FBD">
            <w:pPr>
              <w:ind w:hanging="37"/>
              <w:rPr>
                <w:rFonts w:ascii="Calibri" w:hAnsi="Calibri"/>
                <w:color w:val="000000"/>
                <w:sz w:val="22"/>
                <w:szCs w:val="22"/>
              </w:rPr>
            </w:pPr>
            <w:r w:rsidRPr="00AE050F">
              <w:rPr>
                <w:rFonts w:ascii="Calibri" w:hAnsi="Calibri"/>
                <w:color w:val="000000"/>
                <w:sz w:val="22"/>
                <w:szCs w:val="22"/>
              </w:rPr>
              <w:t>Major refurbishment 1988</w:t>
            </w:r>
          </w:p>
        </w:tc>
      </w:tr>
      <w:tr w:rsidR="002C4DD7" w:rsidRPr="00AE050F" w14:paraId="1FA04929" w14:textId="77777777" w:rsidTr="006B4A0C">
        <w:trPr>
          <w:trHeight w:val="1378"/>
        </w:trPr>
        <w:tc>
          <w:tcPr>
            <w:tcW w:w="2561" w:type="dxa"/>
            <w:tcBorders>
              <w:top w:val="dashSmallGap" w:sz="2" w:space="0" w:color="548DD4" w:themeColor="text2" w:themeTint="99"/>
              <w:left w:val="triple" w:sz="4" w:space="0" w:color="548DD4" w:themeColor="text2" w:themeTint="99"/>
              <w:bottom w:val="dashSmallGap" w:sz="2" w:space="0" w:color="548DD4" w:themeColor="text2" w:themeTint="99"/>
              <w:right w:val="dashSmallGap" w:sz="2" w:space="0" w:color="548DD4" w:themeColor="text2" w:themeTint="99"/>
            </w:tcBorders>
            <w:shd w:val="clear" w:color="auto" w:fill="auto"/>
            <w:vAlign w:val="center"/>
            <w:hideMark/>
          </w:tcPr>
          <w:p w14:paraId="5E354839" w14:textId="77777777" w:rsidR="002C4DD7" w:rsidRPr="00AE050F" w:rsidRDefault="002C4DD7" w:rsidP="00CA69F3">
            <w:pPr>
              <w:ind w:left="-5" w:firstLine="5"/>
              <w:rPr>
                <w:rFonts w:ascii="Calibri" w:hAnsi="Calibri"/>
                <w:color w:val="000000"/>
                <w:sz w:val="22"/>
                <w:szCs w:val="22"/>
              </w:rPr>
            </w:pPr>
            <w:r w:rsidRPr="00AE050F">
              <w:rPr>
                <w:rFonts w:ascii="Calibri" w:hAnsi="Calibri" w:cstheme="minorHAnsi"/>
                <w:color w:val="000000"/>
                <w:sz w:val="22"/>
                <w:szCs w:val="22"/>
              </w:rPr>
              <w:t>Intu Victoria Centre</w:t>
            </w:r>
          </w:p>
        </w:tc>
        <w:tc>
          <w:tcPr>
            <w:tcW w:w="1326" w:type="dxa"/>
            <w:tcBorders>
              <w:top w:val="dashSmallGap" w:sz="2" w:space="0" w:color="548DD4" w:themeColor="text2" w:themeTint="99"/>
              <w:left w:val="dashSmallGap" w:sz="2" w:space="0" w:color="548DD4" w:themeColor="text2" w:themeTint="99"/>
              <w:bottom w:val="dashSmallGap" w:sz="2" w:space="0" w:color="548DD4" w:themeColor="text2" w:themeTint="99"/>
              <w:right w:val="dashSmallGap" w:sz="2" w:space="0" w:color="548DD4" w:themeColor="text2" w:themeTint="99"/>
            </w:tcBorders>
            <w:shd w:val="clear" w:color="auto" w:fill="auto"/>
            <w:noWrap/>
            <w:vAlign w:val="bottom"/>
            <w:hideMark/>
          </w:tcPr>
          <w:p w14:paraId="3D208E1F" w14:textId="77777777" w:rsidR="002C4DD7" w:rsidRPr="00AE050F" w:rsidRDefault="002C4DD7" w:rsidP="00B15FBD">
            <w:pPr>
              <w:ind w:firstLine="142"/>
              <w:jc w:val="center"/>
              <w:rPr>
                <w:rFonts w:ascii="Calibri" w:hAnsi="Calibri"/>
                <w:color w:val="000000"/>
                <w:sz w:val="22"/>
                <w:szCs w:val="22"/>
              </w:rPr>
            </w:pPr>
          </w:p>
        </w:tc>
        <w:tc>
          <w:tcPr>
            <w:tcW w:w="1385" w:type="dxa"/>
            <w:tcBorders>
              <w:top w:val="dashSmallGap" w:sz="2" w:space="0" w:color="548DD4" w:themeColor="text2" w:themeTint="99"/>
              <w:left w:val="dashSmallGap" w:sz="2" w:space="0" w:color="548DD4" w:themeColor="text2" w:themeTint="99"/>
              <w:bottom w:val="dashSmallGap" w:sz="2" w:space="0" w:color="548DD4" w:themeColor="text2" w:themeTint="99"/>
              <w:right w:val="dashSmallGap" w:sz="2" w:space="0" w:color="548DD4" w:themeColor="text2" w:themeTint="99"/>
            </w:tcBorders>
            <w:shd w:val="clear" w:color="auto" w:fill="auto"/>
            <w:vAlign w:val="center"/>
            <w:hideMark/>
          </w:tcPr>
          <w:p w14:paraId="24F905D1"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90,700</w:t>
            </w:r>
          </w:p>
        </w:tc>
        <w:tc>
          <w:tcPr>
            <w:tcW w:w="1455" w:type="dxa"/>
            <w:tcBorders>
              <w:top w:val="dashSmallGap" w:sz="2" w:space="0" w:color="548DD4" w:themeColor="text2" w:themeTint="99"/>
              <w:left w:val="dashSmallGap" w:sz="2" w:space="0" w:color="548DD4" w:themeColor="text2" w:themeTint="99"/>
              <w:bottom w:val="dashSmallGap" w:sz="2" w:space="0" w:color="548DD4" w:themeColor="text2" w:themeTint="99"/>
              <w:right w:val="dashSmallGap" w:sz="2" w:space="0" w:color="548DD4" w:themeColor="text2" w:themeTint="99"/>
            </w:tcBorders>
            <w:shd w:val="clear" w:color="auto" w:fill="auto"/>
            <w:vAlign w:val="center"/>
            <w:hideMark/>
          </w:tcPr>
          <w:p w14:paraId="0060F281"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1972</w:t>
            </w:r>
          </w:p>
        </w:tc>
        <w:tc>
          <w:tcPr>
            <w:tcW w:w="2983" w:type="dxa"/>
            <w:tcBorders>
              <w:top w:val="dashSmallGap" w:sz="2" w:space="0" w:color="548DD4" w:themeColor="text2" w:themeTint="99"/>
              <w:left w:val="dashSmallGap" w:sz="2" w:space="0" w:color="548DD4" w:themeColor="text2" w:themeTint="99"/>
              <w:bottom w:val="dashSmallGap" w:sz="2" w:space="0" w:color="548DD4" w:themeColor="text2" w:themeTint="99"/>
              <w:right w:val="triple" w:sz="4" w:space="0" w:color="548DD4" w:themeColor="text2" w:themeTint="99"/>
            </w:tcBorders>
            <w:shd w:val="clear" w:color="auto" w:fill="auto"/>
            <w:vAlign w:val="center"/>
            <w:hideMark/>
          </w:tcPr>
          <w:p w14:paraId="2243EE98" w14:textId="77777777" w:rsidR="002C4DD7" w:rsidRDefault="002C4DD7" w:rsidP="00B15FBD">
            <w:pPr>
              <w:ind w:hanging="37"/>
              <w:rPr>
                <w:rFonts w:ascii="Calibri" w:hAnsi="Calibri"/>
                <w:color w:val="000000"/>
                <w:sz w:val="22"/>
                <w:szCs w:val="22"/>
              </w:rPr>
            </w:pPr>
            <w:r w:rsidRPr="00AE050F">
              <w:rPr>
                <w:rFonts w:ascii="Calibri" w:hAnsi="Calibri"/>
                <w:color w:val="000000"/>
                <w:sz w:val="22"/>
                <w:szCs w:val="22"/>
              </w:rPr>
              <w:t>Refurbished 2015</w:t>
            </w:r>
          </w:p>
          <w:p w14:paraId="23250BBF" w14:textId="77777777" w:rsidR="002C4DD7" w:rsidRDefault="002C4DD7" w:rsidP="00B15FBD">
            <w:pPr>
              <w:ind w:hanging="37"/>
              <w:rPr>
                <w:rFonts w:ascii="Calibri" w:hAnsi="Calibri"/>
                <w:color w:val="000000"/>
                <w:sz w:val="22"/>
                <w:szCs w:val="22"/>
              </w:rPr>
            </w:pPr>
            <w:r w:rsidRPr="00AE050F">
              <w:rPr>
                <w:rFonts w:ascii="Calibri" w:hAnsi="Calibri"/>
                <w:color w:val="000000"/>
                <w:sz w:val="22"/>
                <w:szCs w:val="22"/>
              </w:rPr>
              <w:t xml:space="preserve">Extended 2002/3                                                                                            </w:t>
            </w:r>
          </w:p>
          <w:p w14:paraId="5F406E09" w14:textId="2E661470" w:rsidR="002C4DD7" w:rsidRDefault="002C4DD7" w:rsidP="00B15FBD">
            <w:pPr>
              <w:ind w:hanging="37"/>
              <w:rPr>
                <w:rFonts w:ascii="Calibri" w:hAnsi="Calibri"/>
                <w:color w:val="000000"/>
                <w:sz w:val="22"/>
                <w:szCs w:val="22"/>
              </w:rPr>
            </w:pPr>
            <w:r w:rsidRPr="00AE050F">
              <w:rPr>
                <w:rFonts w:ascii="Calibri" w:hAnsi="Calibri"/>
                <w:color w:val="000000"/>
                <w:sz w:val="22"/>
                <w:szCs w:val="22"/>
              </w:rPr>
              <w:t xml:space="preserve">Major refurbishment 2000                                         </w:t>
            </w:r>
          </w:p>
          <w:p w14:paraId="45CA2C55" w14:textId="1C84D181" w:rsidR="002C4DD7" w:rsidRDefault="002C4DD7" w:rsidP="00B15FBD">
            <w:pPr>
              <w:ind w:hanging="37"/>
              <w:rPr>
                <w:rFonts w:ascii="Calibri" w:hAnsi="Calibri"/>
                <w:color w:val="000000"/>
                <w:sz w:val="22"/>
                <w:szCs w:val="22"/>
              </w:rPr>
            </w:pPr>
            <w:r w:rsidRPr="00AE050F">
              <w:rPr>
                <w:rFonts w:ascii="Calibri" w:hAnsi="Calibri"/>
                <w:color w:val="000000"/>
                <w:sz w:val="22"/>
                <w:szCs w:val="22"/>
              </w:rPr>
              <w:t xml:space="preserve">Extended 1997                                                            </w:t>
            </w:r>
          </w:p>
          <w:p w14:paraId="78138348" w14:textId="77777777" w:rsidR="002C4DD7" w:rsidRPr="00AE050F" w:rsidRDefault="002C4DD7" w:rsidP="00B15FBD">
            <w:pPr>
              <w:ind w:hanging="37"/>
              <w:rPr>
                <w:rFonts w:ascii="Calibri" w:hAnsi="Calibri"/>
                <w:color w:val="000000"/>
                <w:sz w:val="22"/>
                <w:szCs w:val="22"/>
              </w:rPr>
            </w:pPr>
            <w:r w:rsidRPr="00AE050F">
              <w:rPr>
                <w:rFonts w:ascii="Calibri" w:hAnsi="Calibri"/>
                <w:color w:val="000000"/>
                <w:sz w:val="22"/>
                <w:szCs w:val="22"/>
              </w:rPr>
              <w:t>Extended 1985</w:t>
            </w:r>
          </w:p>
        </w:tc>
      </w:tr>
      <w:tr w:rsidR="002C4DD7" w:rsidRPr="00AE050F" w14:paraId="2B34D858" w14:textId="77777777" w:rsidTr="006B4A0C">
        <w:trPr>
          <w:trHeight w:val="560"/>
        </w:trPr>
        <w:tc>
          <w:tcPr>
            <w:tcW w:w="2561" w:type="dxa"/>
            <w:tcBorders>
              <w:top w:val="dashSmallGap" w:sz="2" w:space="0" w:color="548DD4" w:themeColor="text2" w:themeTint="99"/>
              <w:left w:val="triple" w:sz="4" w:space="0" w:color="548DD4" w:themeColor="text2" w:themeTint="99"/>
              <w:bottom w:val="dashSmallGap" w:sz="2" w:space="0" w:color="548DD4" w:themeColor="text2" w:themeTint="99"/>
              <w:right w:val="dashSmallGap" w:sz="2" w:space="0" w:color="548DD4" w:themeColor="text2" w:themeTint="99"/>
            </w:tcBorders>
            <w:shd w:val="clear" w:color="auto" w:fill="auto"/>
            <w:vAlign w:val="center"/>
            <w:hideMark/>
          </w:tcPr>
          <w:p w14:paraId="632361DD" w14:textId="77777777" w:rsidR="002C4DD7" w:rsidRPr="00AE050F" w:rsidRDefault="002C4DD7" w:rsidP="00CA69F3">
            <w:pPr>
              <w:ind w:left="-5" w:firstLine="5"/>
              <w:rPr>
                <w:rFonts w:ascii="Calibri" w:hAnsi="Calibri"/>
                <w:color w:val="000000"/>
                <w:sz w:val="22"/>
                <w:szCs w:val="22"/>
              </w:rPr>
            </w:pPr>
            <w:r w:rsidRPr="00AE050F">
              <w:rPr>
                <w:rFonts w:ascii="Calibri" w:hAnsi="Calibri" w:cstheme="minorHAnsi"/>
                <w:color w:val="000000"/>
                <w:sz w:val="22"/>
                <w:szCs w:val="22"/>
              </w:rPr>
              <w:t>Exchange Arcade</w:t>
            </w:r>
          </w:p>
        </w:tc>
        <w:tc>
          <w:tcPr>
            <w:tcW w:w="1326" w:type="dxa"/>
            <w:tcBorders>
              <w:top w:val="dashSmallGap" w:sz="2" w:space="0" w:color="548DD4" w:themeColor="text2" w:themeTint="99"/>
              <w:left w:val="dashSmallGap" w:sz="2" w:space="0" w:color="548DD4" w:themeColor="text2" w:themeTint="99"/>
              <w:bottom w:val="dashSmallGap" w:sz="2" w:space="0" w:color="548DD4" w:themeColor="text2" w:themeTint="99"/>
              <w:right w:val="dashSmallGap" w:sz="2" w:space="0" w:color="548DD4" w:themeColor="text2" w:themeTint="99"/>
            </w:tcBorders>
            <w:shd w:val="clear" w:color="auto" w:fill="auto"/>
            <w:noWrap/>
            <w:vAlign w:val="bottom"/>
            <w:hideMark/>
          </w:tcPr>
          <w:p w14:paraId="5F6E4F6C" w14:textId="77777777" w:rsidR="002C4DD7" w:rsidRPr="00AE050F" w:rsidRDefault="002C4DD7" w:rsidP="00B15FBD">
            <w:pPr>
              <w:ind w:firstLine="142"/>
              <w:jc w:val="center"/>
              <w:rPr>
                <w:rFonts w:ascii="Calibri" w:hAnsi="Calibri"/>
                <w:color w:val="000000"/>
                <w:sz w:val="22"/>
                <w:szCs w:val="22"/>
              </w:rPr>
            </w:pPr>
          </w:p>
        </w:tc>
        <w:tc>
          <w:tcPr>
            <w:tcW w:w="1385" w:type="dxa"/>
            <w:tcBorders>
              <w:top w:val="dashSmallGap" w:sz="2" w:space="0" w:color="548DD4" w:themeColor="text2" w:themeTint="99"/>
              <w:left w:val="dashSmallGap" w:sz="2" w:space="0" w:color="548DD4" w:themeColor="text2" w:themeTint="99"/>
              <w:bottom w:val="dashSmallGap" w:sz="2" w:space="0" w:color="548DD4" w:themeColor="text2" w:themeTint="99"/>
              <w:right w:val="dashSmallGap" w:sz="2" w:space="0" w:color="548DD4" w:themeColor="text2" w:themeTint="99"/>
            </w:tcBorders>
            <w:shd w:val="clear" w:color="auto" w:fill="auto"/>
            <w:vAlign w:val="center"/>
            <w:hideMark/>
          </w:tcPr>
          <w:p w14:paraId="25E9D0E8"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2,175</w:t>
            </w:r>
          </w:p>
        </w:tc>
        <w:tc>
          <w:tcPr>
            <w:tcW w:w="1455" w:type="dxa"/>
            <w:tcBorders>
              <w:top w:val="dashSmallGap" w:sz="2" w:space="0" w:color="548DD4" w:themeColor="text2" w:themeTint="99"/>
              <w:left w:val="dashSmallGap" w:sz="2" w:space="0" w:color="548DD4" w:themeColor="text2" w:themeTint="99"/>
              <w:bottom w:val="dashSmallGap" w:sz="2" w:space="0" w:color="548DD4" w:themeColor="text2" w:themeTint="99"/>
              <w:right w:val="dashSmallGap" w:sz="2" w:space="0" w:color="548DD4" w:themeColor="text2" w:themeTint="99"/>
            </w:tcBorders>
            <w:shd w:val="clear" w:color="auto" w:fill="auto"/>
            <w:vAlign w:val="center"/>
            <w:hideMark/>
          </w:tcPr>
          <w:p w14:paraId="160012A0"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1929</w:t>
            </w:r>
          </w:p>
        </w:tc>
        <w:tc>
          <w:tcPr>
            <w:tcW w:w="2983" w:type="dxa"/>
            <w:tcBorders>
              <w:top w:val="dashSmallGap" w:sz="2" w:space="0" w:color="548DD4" w:themeColor="text2" w:themeTint="99"/>
              <w:left w:val="dashSmallGap" w:sz="2" w:space="0" w:color="548DD4" w:themeColor="text2" w:themeTint="99"/>
              <w:bottom w:val="dashSmallGap" w:sz="2" w:space="0" w:color="548DD4" w:themeColor="text2" w:themeTint="99"/>
              <w:right w:val="triple" w:sz="4" w:space="0" w:color="548DD4" w:themeColor="text2" w:themeTint="99"/>
            </w:tcBorders>
            <w:shd w:val="clear" w:color="auto" w:fill="auto"/>
            <w:vAlign w:val="center"/>
            <w:hideMark/>
          </w:tcPr>
          <w:p w14:paraId="1BD73C66" w14:textId="77777777" w:rsidR="002C4DD7" w:rsidRPr="00AE050F" w:rsidRDefault="002C4DD7" w:rsidP="00B15FBD">
            <w:pPr>
              <w:ind w:hanging="37"/>
              <w:rPr>
                <w:rFonts w:ascii="Calibri" w:hAnsi="Calibri"/>
                <w:color w:val="000000"/>
                <w:sz w:val="22"/>
                <w:szCs w:val="22"/>
              </w:rPr>
            </w:pPr>
            <w:r w:rsidRPr="00AE050F">
              <w:rPr>
                <w:rFonts w:ascii="Calibri" w:hAnsi="Calibri"/>
                <w:color w:val="000000"/>
                <w:sz w:val="22"/>
                <w:szCs w:val="22"/>
              </w:rPr>
              <w:t>Refurbished 2008                                                Refurbished 2014</w:t>
            </w:r>
          </w:p>
        </w:tc>
      </w:tr>
      <w:tr w:rsidR="002C4DD7" w:rsidRPr="00AE050F" w14:paraId="47AB7E1E" w14:textId="77777777" w:rsidTr="001A66EE">
        <w:trPr>
          <w:trHeight w:val="320"/>
        </w:trPr>
        <w:tc>
          <w:tcPr>
            <w:tcW w:w="2561" w:type="dxa"/>
            <w:tcBorders>
              <w:top w:val="dashSmallGap" w:sz="2" w:space="0" w:color="548DD4" w:themeColor="text2" w:themeTint="99"/>
              <w:left w:val="triple" w:sz="4" w:space="0" w:color="548DD4" w:themeColor="text2" w:themeTint="99"/>
              <w:bottom w:val="dashSmallGap" w:sz="2" w:space="0" w:color="548DD4" w:themeColor="text2" w:themeTint="99"/>
              <w:right w:val="dashSmallGap" w:sz="2" w:space="0" w:color="548DD4" w:themeColor="text2" w:themeTint="99"/>
            </w:tcBorders>
            <w:shd w:val="clear" w:color="auto" w:fill="auto"/>
            <w:vAlign w:val="center"/>
            <w:hideMark/>
          </w:tcPr>
          <w:p w14:paraId="255C5FCB" w14:textId="77777777" w:rsidR="002C4DD7" w:rsidRPr="00AE050F" w:rsidRDefault="002C4DD7" w:rsidP="00CA69F3">
            <w:pPr>
              <w:ind w:left="-5" w:firstLine="5"/>
              <w:rPr>
                <w:rFonts w:ascii="Calibri" w:hAnsi="Calibri"/>
                <w:color w:val="000000"/>
                <w:sz w:val="22"/>
                <w:szCs w:val="22"/>
              </w:rPr>
            </w:pPr>
            <w:r w:rsidRPr="00AE050F">
              <w:rPr>
                <w:rFonts w:ascii="Calibri" w:hAnsi="Calibri" w:cstheme="minorHAnsi"/>
                <w:color w:val="000000"/>
                <w:sz w:val="22"/>
                <w:szCs w:val="22"/>
              </w:rPr>
              <w:t>Flying Horse Walk</w:t>
            </w:r>
          </w:p>
        </w:tc>
        <w:tc>
          <w:tcPr>
            <w:tcW w:w="1326" w:type="dxa"/>
            <w:tcBorders>
              <w:top w:val="dashSmallGap" w:sz="2" w:space="0" w:color="548DD4" w:themeColor="text2" w:themeTint="99"/>
              <w:left w:val="dashSmallGap" w:sz="2" w:space="0" w:color="548DD4" w:themeColor="text2" w:themeTint="99"/>
              <w:bottom w:val="dashSmallGap" w:sz="2" w:space="0" w:color="548DD4" w:themeColor="text2" w:themeTint="99"/>
              <w:right w:val="dashSmallGap" w:sz="2" w:space="0" w:color="548DD4" w:themeColor="text2" w:themeTint="99"/>
            </w:tcBorders>
            <w:shd w:val="clear" w:color="auto" w:fill="auto"/>
            <w:noWrap/>
            <w:vAlign w:val="bottom"/>
            <w:hideMark/>
          </w:tcPr>
          <w:p w14:paraId="63D3AE95" w14:textId="77777777" w:rsidR="002C4DD7" w:rsidRPr="00AE050F" w:rsidRDefault="002C4DD7" w:rsidP="00B15FBD">
            <w:pPr>
              <w:ind w:firstLine="142"/>
              <w:jc w:val="center"/>
              <w:rPr>
                <w:rFonts w:ascii="Calibri" w:hAnsi="Calibri"/>
                <w:color w:val="000000"/>
                <w:sz w:val="22"/>
                <w:szCs w:val="22"/>
              </w:rPr>
            </w:pPr>
          </w:p>
        </w:tc>
        <w:tc>
          <w:tcPr>
            <w:tcW w:w="1385" w:type="dxa"/>
            <w:tcBorders>
              <w:top w:val="dashSmallGap" w:sz="2" w:space="0" w:color="548DD4" w:themeColor="text2" w:themeTint="99"/>
              <w:left w:val="dashSmallGap" w:sz="2" w:space="0" w:color="548DD4" w:themeColor="text2" w:themeTint="99"/>
              <w:bottom w:val="dashSmallGap" w:sz="2" w:space="0" w:color="548DD4" w:themeColor="text2" w:themeTint="99"/>
              <w:right w:val="dashSmallGap" w:sz="2" w:space="0" w:color="548DD4" w:themeColor="text2" w:themeTint="99"/>
            </w:tcBorders>
            <w:shd w:val="clear" w:color="auto" w:fill="auto"/>
            <w:vAlign w:val="center"/>
            <w:hideMark/>
          </w:tcPr>
          <w:p w14:paraId="4ADD810A"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3,345</w:t>
            </w:r>
          </w:p>
        </w:tc>
        <w:tc>
          <w:tcPr>
            <w:tcW w:w="1455" w:type="dxa"/>
            <w:tcBorders>
              <w:top w:val="dashSmallGap" w:sz="2" w:space="0" w:color="548DD4" w:themeColor="text2" w:themeTint="99"/>
              <w:left w:val="dashSmallGap" w:sz="2" w:space="0" w:color="548DD4" w:themeColor="text2" w:themeTint="99"/>
              <w:bottom w:val="dashSmallGap" w:sz="2" w:space="0" w:color="548DD4" w:themeColor="text2" w:themeTint="99"/>
              <w:right w:val="dashSmallGap" w:sz="2" w:space="0" w:color="548DD4" w:themeColor="text2" w:themeTint="99"/>
            </w:tcBorders>
            <w:shd w:val="clear" w:color="auto" w:fill="auto"/>
            <w:vAlign w:val="center"/>
            <w:hideMark/>
          </w:tcPr>
          <w:p w14:paraId="2EAC4097"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1988</w:t>
            </w:r>
          </w:p>
        </w:tc>
        <w:tc>
          <w:tcPr>
            <w:tcW w:w="2983" w:type="dxa"/>
            <w:tcBorders>
              <w:top w:val="dashSmallGap" w:sz="2" w:space="0" w:color="548DD4" w:themeColor="text2" w:themeTint="99"/>
              <w:left w:val="dashSmallGap" w:sz="2" w:space="0" w:color="548DD4" w:themeColor="text2" w:themeTint="99"/>
              <w:bottom w:val="dashSmallGap" w:sz="2" w:space="0" w:color="548DD4" w:themeColor="text2" w:themeTint="99"/>
              <w:right w:val="triple" w:sz="4" w:space="0" w:color="548DD4" w:themeColor="text2" w:themeTint="99"/>
            </w:tcBorders>
            <w:shd w:val="clear" w:color="auto" w:fill="auto"/>
            <w:vAlign w:val="center"/>
            <w:hideMark/>
          </w:tcPr>
          <w:p w14:paraId="2136A02C" w14:textId="77777777" w:rsidR="002C4DD7" w:rsidRPr="00AE050F" w:rsidRDefault="002C4DD7" w:rsidP="00B15FBD">
            <w:pPr>
              <w:ind w:hanging="37"/>
              <w:rPr>
                <w:rFonts w:ascii="Calibri" w:hAnsi="Calibri"/>
                <w:color w:val="000000"/>
                <w:sz w:val="22"/>
                <w:szCs w:val="22"/>
              </w:rPr>
            </w:pPr>
            <w:r w:rsidRPr="00AE050F">
              <w:rPr>
                <w:rFonts w:ascii="Calibri" w:hAnsi="Calibri"/>
                <w:color w:val="000000"/>
                <w:sz w:val="22"/>
                <w:szCs w:val="22"/>
              </w:rPr>
              <w:t>Major refurbishment 2011/2</w:t>
            </w:r>
          </w:p>
        </w:tc>
      </w:tr>
      <w:tr w:rsidR="002C4DD7" w:rsidRPr="00AE050F" w14:paraId="065D4D3C" w14:textId="77777777" w:rsidTr="001A66EE">
        <w:trPr>
          <w:trHeight w:val="320"/>
        </w:trPr>
        <w:tc>
          <w:tcPr>
            <w:tcW w:w="2561" w:type="dxa"/>
            <w:tcBorders>
              <w:top w:val="dashSmallGap" w:sz="2" w:space="0" w:color="548DD4" w:themeColor="text2" w:themeTint="99"/>
              <w:left w:val="triple" w:sz="4" w:space="0" w:color="548DD4" w:themeColor="text2" w:themeTint="99"/>
              <w:bottom w:val="dashSmallGap" w:sz="2" w:space="0" w:color="548DD4" w:themeColor="text2" w:themeTint="99"/>
              <w:right w:val="dashSmallGap" w:sz="2" w:space="0" w:color="548DD4" w:themeColor="text2" w:themeTint="99"/>
            </w:tcBorders>
            <w:shd w:val="clear" w:color="auto" w:fill="auto"/>
            <w:vAlign w:val="center"/>
            <w:hideMark/>
          </w:tcPr>
          <w:p w14:paraId="19121F57" w14:textId="77777777" w:rsidR="002C4DD7" w:rsidRPr="00AE050F" w:rsidRDefault="002C4DD7" w:rsidP="00CA69F3">
            <w:pPr>
              <w:ind w:left="-5" w:firstLine="5"/>
              <w:rPr>
                <w:rFonts w:ascii="Calibri" w:hAnsi="Calibri"/>
                <w:color w:val="000000"/>
                <w:sz w:val="22"/>
                <w:szCs w:val="22"/>
              </w:rPr>
            </w:pPr>
            <w:r w:rsidRPr="00AE050F">
              <w:rPr>
                <w:rFonts w:ascii="Calibri" w:hAnsi="Calibri"/>
                <w:color w:val="000000"/>
                <w:sz w:val="22"/>
                <w:szCs w:val="22"/>
              </w:rPr>
              <w:t>Trinity Square</w:t>
            </w:r>
          </w:p>
        </w:tc>
        <w:tc>
          <w:tcPr>
            <w:tcW w:w="1326" w:type="dxa"/>
            <w:tcBorders>
              <w:top w:val="dashSmallGap" w:sz="2" w:space="0" w:color="548DD4" w:themeColor="text2" w:themeTint="99"/>
              <w:left w:val="dashSmallGap" w:sz="2" w:space="0" w:color="548DD4" w:themeColor="text2" w:themeTint="99"/>
              <w:bottom w:val="dashSmallGap" w:sz="2" w:space="0" w:color="548DD4" w:themeColor="text2" w:themeTint="99"/>
              <w:right w:val="dashSmallGap" w:sz="2" w:space="0" w:color="548DD4" w:themeColor="text2" w:themeTint="99"/>
            </w:tcBorders>
            <w:shd w:val="clear" w:color="auto" w:fill="auto"/>
            <w:noWrap/>
            <w:vAlign w:val="bottom"/>
            <w:hideMark/>
          </w:tcPr>
          <w:p w14:paraId="6749094C" w14:textId="77777777" w:rsidR="002C4DD7" w:rsidRPr="00AE050F" w:rsidRDefault="002C4DD7" w:rsidP="00B15FBD">
            <w:pPr>
              <w:ind w:firstLine="142"/>
              <w:jc w:val="center"/>
              <w:rPr>
                <w:rFonts w:ascii="Calibri" w:hAnsi="Calibri"/>
                <w:color w:val="000000"/>
                <w:sz w:val="22"/>
                <w:szCs w:val="22"/>
              </w:rPr>
            </w:pPr>
          </w:p>
        </w:tc>
        <w:tc>
          <w:tcPr>
            <w:tcW w:w="1385" w:type="dxa"/>
            <w:tcBorders>
              <w:top w:val="dashSmallGap" w:sz="2" w:space="0" w:color="548DD4" w:themeColor="text2" w:themeTint="99"/>
              <w:left w:val="dashSmallGap" w:sz="2" w:space="0" w:color="548DD4" w:themeColor="text2" w:themeTint="99"/>
              <w:bottom w:val="dashSmallGap" w:sz="2" w:space="0" w:color="548DD4" w:themeColor="text2" w:themeTint="99"/>
              <w:right w:val="dashSmallGap" w:sz="2" w:space="0" w:color="548DD4" w:themeColor="text2" w:themeTint="99"/>
            </w:tcBorders>
            <w:shd w:val="clear" w:color="auto" w:fill="auto"/>
            <w:vAlign w:val="center"/>
            <w:hideMark/>
          </w:tcPr>
          <w:p w14:paraId="77F68764"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olor w:val="000000"/>
                <w:sz w:val="22"/>
                <w:szCs w:val="22"/>
              </w:rPr>
              <w:t>19,100</w:t>
            </w:r>
          </w:p>
        </w:tc>
        <w:tc>
          <w:tcPr>
            <w:tcW w:w="1455" w:type="dxa"/>
            <w:tcBorders>
              <w:top w:val="dashSmallGap" w:sz="2" w:space="0" w:color="548DD4" w:themeColor="text2" w:themeTint="99"/>
              <w:left w:val="dashSmallGap" w:sz="2" w:space="0" w:color="548DD4" w:themeColor="text2" w:themeTint="99"/>
              <w:bottom w:val="dashSmallGap" w:sz="2" w:space="0" w:color="548DD4" w:themeColor="text2" w:themeTint="99"/>
              <w:right w:val="dashSmallGap" w:sz="2" w:space="0" w:color="548DD4" w:themeColor="text2" w:themeTint="99"/>
            </w:tcBorders>
            <w:shd w:val="clear" w:color="auto" w:fill="auto"/>
            <w:vAlign w:val="center"/>
            <w:hideMark/>
          </w:tcPr>
          <w:p w14:paraId="47B4FEEA"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olor w:val="000000"/>
                <w:sz w:val="22"/>
                <w:szCs w:val="22"/>
              </w:rPr>
              <w:t>2008</w:t>
            </w:r>
          </w:p>
        </w:tc>
        <w:tc>
          <w:tcPr>
            <w:tcW w:w="2983" w:type="dxa"/>
            <w:tcBorders>
              <w:top w:val="dashSmallGap" w:sz="2" w:space="0" w:color="548DD4" w:themeColor="text2" w:themeTint="99"/>
              <w:left w:val="dashSmallGap" w:sz="2" w:space="0" w:color="548DD4" w:themeColor="text2" w:themeTint="99"/>
              <w:bottom w:val="dashSmallGap" w:sz="2" w:space="0" w:color="548DD4" w:themeColor="text2" w:themeTint="99"/>
              <w:right w:val="triple" w:sz="4" w:space="0" w:color="548DD4" w:themeColor="text2" w:themeTint="99"/>
            </w:tcBorders>
            <w:shd w:val="clear" w:color="auto" w:fill="auto"/>
            <w:noWrap/>
            <w:vAlign w:val="bottom"/>
            <w:hideMark/>
          </w:tcPr>
          <w:p w14:paraId="05A42CF4" w14:textId="77777777" w:rsidR="002C4DD7" w:rsidRPr="00AE050F" w:rsidRDefault="002C4DD7" w:rsidP="00B15FBD">
            <w:pPr>
              <w:ind w:hanging="37"/>
              <w:rPr>
                <w:rFonts w:ascii="Calibri" w:hAnsi="Calibri"/>
                <w:color w:val="000000"/>
                <w:sz w:val="22"/>
                <w:szCs w:val="22"/>
              </w:rPr>
            </w:pPr>
            <w:r w:rsidRPr="00AE050F">
              <w:rPr>
                <w:rFonts w:ascii="Calibri" w:hAnsi="Calibri"/>
                <w:color w:val="000000"/>
                <w:sz w:val="22"/>
                <w:szCs w:val="22"/>
              </w:rPr>
              <w:t xml:space="preserve">Refurbished 2014 </w:t>
            </w:r>
          </w:p>
        </w:tc>
      </w:tr>
      <w:tr w:rsidR="002C4DD7" w:rsidRPr="00AE050F" w14:paraId="58127018" w14:textId="77777777" w:rsidTr="001A66EE">
        <w:trPr>
          <w:trHeight w:val="320"/>
        </w:trPr>
        <w:tc>
          <w:tcPr>
            <w:tcW w:w="2561" w:type="dxa"/>
            <w:tcBorders>
              <w:top w:val="dashSmallGap" w:sz="2" w:space="0" w:color="548DD4" w:themeColor="text2" w:themeTint="99"/>
              <w:left w:val="triple" w:sz="4" w:space="0" w:color="548DD4" w:themeColor="text2" w:themeTint="99"/>
              <w:bottom w:val="single" w:sz="2" w:space="0" w:color="548DD4" w:themeColor="text2" w:themeTint="99"/>
              <w:right w:val="dashSmallGap" w:sz="2" w:space="0" w:color="548DD4" w:themeColor="text2" w:themeTint="99"/>
            </w:tcBorders>
            <w:shd w:val="clear" w:color="auto" w:fill="auto"/>
            <w:vAlign w:val="center"/>
            <w:hideMark/>
          </w:tcPr>
          <w:p w14:paraId="446899F0" w14:textId="77777777" w:rsidR="002C4DD7" w:rsidRPr="00AE050F" w:rsidRDefault="002C4DD7" w:rsidP="00CA69F3">
            <w:pPr>
              <w:ind w:left="-5" w:firstLine="5"/>
              <w:rPr>
                <w:rFonts w:ascii="Calibri" w:hAnsi="Calibri"/>
                <w:color w:val="000000"/>
                <w:sz w:val="22"/>
                <w:szCs w:val="22"/>
              </w:rPr>
            </w:pPr>
            <w:r w:rsidRPr="00AE050F">
              <w:rPr>
                <w:rFonts w:ascii="Calibri" w:hAnsi="Calibri" w:cstheme="minorHAnsi"/>
                <w:color w:val="000000"/>
                <w:sz w:val="22"/>
                <w:szCs w:val="22"/>
              </w:rPr>
              <w:t>West End Arcade</w:t>
            </w:r>
          </w:p>
        </w:tc>
        <w:tc>
          <w:tcPr>
            <w:tcW w:w="1326" w:type="dxa"/>
            <w:tcBorders>
              <w:top w:val="dashSmallGap" w:sz="2" w:space="0" w:color="548DD4" w:themeColor="text2" w:themeTint="99"/>
              <w:left w:val="dashSmallGap" w:sz="2" w:space="0" w:color="548DD4" w:themeColor="text2" w:themeTint="99"/>
              <w:bottom w:val="single" w:sz="2" w:space="0" w:color="548DD4" w:themeColor="text2" w:themeTint="99"/>
              <w:right w:val="dashSmallGap" w:sz="2" w:space="0" w:color="548DD4" w:themeColor="text2" w:themeTint="99"/>
            </w:tcBorders>
            <w:shd w:val="clear" w:color="auto" w:fill="auto"/>
            <w:noWrap/>
            <w:vAlign w:val="bottom"/>
            <w:hideMark/>
          </w:tcPr>
          <w:p w14:paraId="7BE66D4B" w14:textId="77777777" w:rsidR="002C4DD7" w:rsidRPr="00AE050F" w:rsidRDefault="002C4DD7" w:rsidP="00B15FBD">
            <w:pPr>
              <w:ind w:firstLine="142"/>
              <w:jc w:val="center"/>
              <w:rPr>
                <w:rFonts w:ascii="Calibri" w:hAnsi="Calibri"/>
                <w:color w:val="000000"/>
                <w:sz w:val="22"/>
                <w:szCs w:val="22"/>
              </w:rPr>
            </w:pPr>
          </w:p>
        </w:tc>
        <w:tc>
          <w:tcPr>
            <w:tcW w:w="1385" w:type="dxa"/>
            <w:tcBorders>
              <w:top w:val="dashSmallGap" w:sz="2" w:space="0" w:color="548DD4" w:themeColor="text2" w:themeTint="99"/>
              <w:left w:val="dashSmallGap" w:sz="2" w:space="0" w:color="548DD4" w:themeColor="text2" w:themeTint="99"/>
              <w:bottom w:val="single" w:sz="2" w:space="0" w:color="548DD4" w:themeColor="text2" w:themeTint="99"/>
              <w:right w:val="dashSmallGap" w:sz="2" w:space="0" w:color="548DD4" w:themeColor="text2" w:themeTint="99"/>
            </w:tcBorders>
            <w:shd w:val="clear" w:color="auto" w:fill="auto"/>
            <w:vAlign w:val="center"/>
            <w:hideMark/>
          </w:tcPr>
          <w:p w14:paraId="51FBBFAB" w14:textId="01EFD688" w:rsidR="002C4DD7" w:rsidRPr="00AE050F" w:rsidRDefault="009D7796" w:rsidP="00B15FBD">
            <w:pPr>
              <w:ind w:firstLine="142"/>
              <w:jc w:val="center"/>
              <w:rPr>
                <w:rFonts w:ascii="Calibri" w:hAnsi="Calibri"/>
                <w:color w:val="000000"/>
                <w:sz w:val="22"/>
                <w:szCs w:val="22"/>
              </w:rPr>
            </w:pPr>
            <w:r>
              <w:rPr>
                <w:rFonts w:ascii="Calibri" w:hAnsi="Calibri" w:cstheme="minorHAnsi"/>
                <w:color w:val="000000"/>
                <w:sz w:val="22"/>
                <w:szCs w:val="22"/>
              </w:rPr>
              <w:t>C</w:t>
            </w:r>
            <w:r w:rsidR="002C4DD7">
              <w:rPr>
                <w:rFonts w:ascii="Calibri" w:hAnsi="Calibri" w:cstheme="minorHAnsi"/>
                <w:color w:val="000000"/>
                <w:sz w:val="22"/>
                <w:szCs w:val="22"/>
              </w:rPr>
              <w:t>ir</w:t>
            </w:r>
            <w:r>
              <w:rPr>
                <w:rFonts w:ascii="Calibri" w:hAnsi="Calibri" w:cstheme="minorHAnsi"/>
                <w:color w:val="000000"/>
                <w:sz w:val="22"/>
                <w:szCs w:val="22"/>
              </w:rPr>
              <w:t>ca.</w:t>
            </w:r>
            <w:r w:rsidR="002C4DD7" w:rsidRPr="00AE050F">
              <w:rPr>
                <w:rFonts w:ascii="Calibri" w:hAnsi="Calibri" w:cstheme="minorHAnsi"/>
                <w:color w:val="000000"/>
                <w:sz w:val="22"/>
                <w:szCs w:val="22"/>
              </w:rPr>
              <w:t xml:space="preserve"> 900</w:t>
            </w:r>
          </w:p>
        </w:tc>
        <w:tc>
          <w:tcPr>
            <w:tcW w:w="1455" w:type="dxa"/>
            <w:tcBorders>
              <w:top w:val="dashSmallGap" w:sz="2" w:space="0" w:color="548DD4" w:themeColor="text2" w:themeTint="99"/>
              <w:left w:val="dashSmallGap" w:sz="2" w:space="0" w:color="548DD4" w:themeColor="text2" w:themeTint="99"/>
              <w:bottom w:val="single" w:sz="2" w:space="0" w:color="548DD4" w:themeColor="text2" w:themeTint="99"/>
              <w:right w:val="dashSmallGap" w:sz="2" w:space="0" w:color="548DD4" w:themeColor="text2" w:themeTint="99"/>
            </w:tcBorders>
            <w:shd w:val="clear" w:color="auto" w:fill="auto"/>
            <w:vAlign w:val="center"/>
            <w:hideMark/>
          </w:tcPr>
          <w:p w14:paraId="41F4F2D7" w14:textId="77777777" w:rsidR="002C4DD7" w:rsidRPr="00AE050F" w:rsidRDefault="002C4DD7" w:rsidP="00B15FBD">
            <w:pPr>
              <w:ind w:firstLine="142"/>
              <w:jc w:val="center"/>
              <w:rPr>
                <w:rFonts w:ascii="Calibri" w:hAnsi="Calibri"/>
                <w:color w:val="000000"/>
                <w:sz w:val="22"/>
                <w:szCs w:val="22"/>
              </w:rPr>
            </w:pPr>
            <w:r w:rsidRPr="00AE050F">
              <w:rPr>
                <w:rFonts w:ascii="Calibri" w:hAnsi="Calibri" w:cstheme="minorHAnsi"/>
                <w:color w:val="000000"/>
                <w:sz w:val="22"/>
                <w:szCs w:val="22"/>
              </w:rPr>
              <w:t>1920s/1965</w:t>
            </w:r>
          </w:p>
        </w:tc>
        <w:tc>
          <w:tcPr>
            <w:tcW w:w="2983" w:type="dxa"/>
            <w:tcBorders>
              <w:top w:val="dashSmallGap" w:sz="2" w:space="0" w:color="548DD4" w:themeColor="text2" w:themeTint="99"/>
              <w:left w:val="dashSmallGap" w:sz="2" w:space="0" w:color="548DD4" w:themeColor="text2" w:themeTint="99"/>
              <w:bottom w:val="single" w:sz="2" w:space="0" w:color="548DD4" w:themeColor="text2" w:themeTint="99"/>
              <w:right w:val="triple" w:sz="4" w:space="0" w:color="548DD4" w:themeColor="text2" w:themeTint="99"/>
            </w:tcBorders>
            <w:shd w:val="clear" w:color="auto" w:fill="auto"/>
            <w:vAlign w:val="center"/>
            <w:hideMark/>
          </w:tcPr>
          <w:p w14:paraId="6D14F546" w14:textId="77777777" w:rsidR="002C4DD7" w:rsidRPr="00AE050F" w:rsidRDefault="002C4DD7" w:rsidP="00B15FBD">
            <w:pPr>
              <w:ind w:firstLine="142"/>
              <w:rPr>
                <w:rFonts w:ascii="Calibri" w:hAnsi="Calibri"/>
                <w:color w:val="000000"/>
                <w:sz w:val="22"/>
                <w:szCs w:val="22"/>
              </w:rPr>
            </w:pPr>
          </w:p>
        </w:tc>
      </w:tr>
      <w:tr w:rsidR="002C4DD7" w:rsidRPr="00AE050F" w14:paraId="315BAB02" w14:textId="77777777" w:rsidTr="001A66EE">
        <w:trPr>
          <w:trHeight w:val="453"/>
        </w:trPr>
        <w:tc>
          <w:tcPr>
            <w:tcW w:w="2561" w:type="dxa"/>
            <w:tcBorders>
              <w:top w:val="single" w:sz="2" w:space="0" w:color="548DD4" w:themeColor="text2" w:themeTint="99"/>
              <w:left w:val="triple" w:sz="4" w:space="0" w:color="548DD4" w:themeColor="text2" w:themeTint="99"/>
              <w:bottom w:val="triple" w:sz="4" w:space="0" w:color="548DD4" w:themeColor="text2" w:themeTint="99"/>
              <w:right w:val="dashSmallGap" w:sz="4" w:space="0" w:color="548DD4" w:themeColor="text2" w:themeTint="99"/>
            </w:tcBorders>
            <w:shd w:val="clear" w:color="auto" w:fill="auto"/>
            <w:vAlign w:val="center"/>
            <w:hideMark/>
          </w:tcPr>
          <w:p w14:paraId="566337B0" w14:textId="53AE82EF" w:rsidR="002C4DD7" w:rsidRPr="00AE050F" w:rsidRDefault="00CA69F3" w:rsidP="00CA69F3">
            <w:pPr>
              <w:ind w:left="-5" w:firstLine="5"/>
              <w:rPr>
                <w:rFonts w:ascii="Calibri" w:hAnsi="Calibri"/>
                <w:b/>
                <w:bCs/>
                <w:i/>
                <w:iCs/>
                <w:color w:val="000000"/>
                <w:sz w:val="22"/>
                <w:szCs w:val="22"/>
              </w:rPr>
            </w:pPr>
            <w:r>
              <w:rPr>
                <w:rFonts w:ascii="Calibri" w:hAnsi="Calibri"/>
                <w:b/>
                <w:bCs/>
                <w:i/>
                <w:iCs/>
                <w:color w:val="000000"/>
                <w:sz w:val="22"/>
                <w:szCs w:val="22"/>
              </w:rPr>
              <w:t xml:space="preserve">Est. </w:t>
            </w:r>
            <w:r w:rsidR="002C4DD7" w:rsidRPr="00AE050F">
              <w:rPr>
                <w:rFonts w:ascii="Calibri" w:hAnsi="Calibri"/>
                <w:b/>
                <w:bCs/>
                <w:i/>
                <w:iCs/>
                <w:color w:val="000000"/>
                <w:sz w:val="22"/>
                <w:szCs w:val="22"/>
              </w:rPr>
              <w:t xml:space="preserve">Total </w:t>
            </w:r>
            <w:r>
              <w:rPr>
                <w:rFonts w:ascii="Calibri" w:hAnsi="Calibri"/>
                <w:b/>
                <w:bCs/>
                <w:i/>
                <w:iCs/>
                <w:color w:val="000000"/>
                <w:sz w:val="22"/>
                <w:szCs w:val="22"/>
              </w:rPr>
              <w:t>Floorspace</w:t>
            </w:r>
          </w:p>
        </w:tc>
        <w:tc>
          <w:tcPr>
            <w:tcW w:w="1326" w:type="dxa"/>
            <w:tcBorders>
              <w:top w:val="single" w:sz="2" w:space="0" w:color="548DD4" w:themeColor="text2" w:themeTint="99"/>
              <w:left w:val="dashSmallGap" w:sz="4" w:space="0" w:color="548DD4" w:themeColor="text2" w:themeTint="99"/>
              <w:bottom w:val="triple" w:sz="4" w:space="0" w:color="548DD4" w:themeColor="text2" w:themeTint="99"/>
              <w:right w:val="dashSmallGap" w:sz="4" w:space="0" w:color="548DD4" w:themeColor="text2" w:themeTint="99"/>
            </w:tcBorders>
            <w:shd w:val="clear" w:color="auto" w:fill="auto"/>
            <w:vAlign w:val="center"/>
            <w:hideMark/>
          </w:tcPr>
          <w:p w14:paraId="375C3527" w14:textId="77777777" w:rsidR="002C4DD7" w:rsidRPr="00AE050F" w:rsidRDefault="002C4DD7" w:rsidP="00B15FBD">
            <w:pPr>
              <w:ind w:firstLine="142"/>
              <w:jc w:val="center"/>
              <w:rPr>
                <w:rFonts w:ascii="Calibri" w:hAnsi="Calibri"/>
                <w:b/>
                <w:bCs/>
                <w:color w:val="000000"/>
                <w:sz w:val="22"/>
                <w:szCs w:val="22"/>
              </w:rPr>
            </w:pPr>
            <w:r w:rsidRPr="00AE050F">
              <w:rPr>
                <w:rFonts w:ascii="Calibri" w:hAnsi="Calibri"/>
                <w:b/>
                <w:bCs/>
                <w:color w:val="000000"/>
                <w:sz w:val="22"/>
                <w:szCs w:val="22"/>
              </w:rPr>
              <w:t>267,000</w:t>
            </w:r>
          </w:p>
        </w:tc>
        <w:tc>
          <w:tcPr>
            <w:tcW w:w="1385" w:type="dxa"/>
            <w:tcBorders>
              <w:top w:val="single" w:sz="2" w:space="0" w:color="548DD4" w:themeColor="text2" w:themeTint="99"/>
              <w:left w:val="dashSmallGap" w:sz="4" w:space="0" w:color="548DD4" w:themeColor="text2" w:themeTint="99"/>
              <w:bottom w:val="triple" w:sz="4" w:space="0" w:color="548DD4" w:themeColor="text2" w:themeTint="99"/>
              <w:right w:val="dashSmallGap" w:sz="4" w:space="0" w:color="548DD4" w:themeColor="text2" w:themeTint="99"/>
            </w:tcBorders>
            <w:shd w:val="clear" w:color="auto" w:fill="auto"/>
            <w:noWrap/>
            <w:vAlign w:val="bottom"/>
            <w:hideMark/>
          </w:tcPr>
          <w:p w14:paraId="676FE751" w14:textId="77777777" w:rsidR="002C4DD7" w:rsidRPr="00AE050F" w:rsidRDefault="002C4DD7" w:rsidP="00B15FBD">
            <w:pPr>
              <w:ind w:firstLine="142"/>
              <w:jc w:val="center"/>
              <w:rPr>
                <w:rFonts w:ascii="Calibri" w:hAnsi="Calibri"/>
                <w:color w:val="000000"/>
                <w:sz w:val="22"/>
                <w:szCs w:val="22"/>
              </w:rPr>
            </w:pPr>
          </w:p>
        </w:tc>
        <w:tc>
          <w:tcPr>
            <w:tcW w:w="1455" w:type="dxa"/>
            <w:tcBorders>
              <w:top w:val="single" w:sz="2" w:space="0" w:color="548DD4" w:themeColor="text2" w:themeTint="99"/>
              <w:left w:val="dashSmallGap" w:sz="4" w:space="0" w:color="548DD4" w:themeColor="text2" w:themeTint="99"/>
              <w:bottom w:val="triple" w:sz="4" w:space="0" w:color="548DD4" w:themeColor="text2" w:themeTint="99"/>
              <w:right w:val="dashSmallGap" w:sz="4" w:space="0" w:color="548DD4" w:themeColor="text2" w:themeTint="99"/>
            </w:tcBorders>
            <w:shd w:val="clear" w:color="auto" w:fill="auto"/>
            <w:vAlign w:val="center"/>
            <w:hideMark/>
          </w:tcPr>
          <w:p w14:paraId="4B09F993" w14:textId="77777777" w:rsidR="002C4DD7" w:rsidRPr="00AE050F" w:rsidRDefault="002C4DD7" w:rsidP="00B15FBD">
            <w:pPr>
              <w:ind w:firstLine="142"/>
              <w:jc w:val="center"/>
              <w:rPr>
                <w:rFonts w:ascii="Calibri" w:hAnsi="Calibri"/>
                <w:color w:val="000000"/>
                <w:sz w:val="22"/>
                <w:szCs w:val="22"/>
              </w:rPr>
            </w:pPr>
          </w:p>
        </w:tc>
        <w:tc>
          <w:tcPr>
            <w:tcW w:w="2983" w:type="dxa"/>
            <w:tcBorders>
              <w:top w:val="single" w:sz="2" w:space="0" w:color="548DD4" w:themeColor="text2" w:themeTint="99"/>
              <w:left w:val="dashSmallGap" w:sz="4" w:space="0" w:color="548DD4" w:themeColor="text2" w:themeTint="99"/>
              <w:bottom w:val="triple" w:sz="4" w:space="0" w:color="548DD4" w:themeColor="text2" w:themeTint="99"/>
              <w:right w:val="triple" w:sz="4" w:space="0" w:color="548DD4" w:themeColor="text2" w:themeTint="99"/>
            </w:tcBorders>
            <w:shd w:val="clear" w:color="auto" w:fill="auto"/>
            <w:vAlign w:val="center"/>
            <w:hideMark/>
          </w:tcPr>
          <w:p w14:paraId="58B84C80" w14:textId="77777777" w:rsidR="002C4DD7" w:rsidRPr="00AE050F" w:rsidRDefault="002C4DD7" w:rsidP="00B15FBD">
            <w:pPr>
              <w:ind w:firstLine="142"/>
              <w:rPr>
                <w:rFonts w:ascii="Calibri" w:hAnsi="Calibri"/>
                <w:color w:val="000000"/>
                <w:sz w:val="22"/>
                <w:szCs w:val="22"/>
              </w:rPr>
            </w:pPr>
          </w:p>
        </w:tc>
      </w:tr>
    </w:tbl>
    <w:p w14:paraId="3C712775" w14:textId="2D35D46F" w:rsidR="001A66EE" w:rsidRPr="00F46539" w:rsidRDefault="001A66EE" w:rsidP="001A66EE">
      <w:pPr>
        <w:spacing w:line="360" w:lineRule="auto"/>
        <w:rPr>
          <w:rFonts w:asciiTheme="minorHAnsi" w:eastAsiaTheme="minorHAnsi" w:hAnsiTheme="minorHAnsi" w:cstheme="minorHAnsi"/>
          <w:sz w:val="20"/>
          <w:szCs w:val="20"/>
        </w:rPr>
      </w:pPr>
      <w:r w:rsidRPr="00F46539">
        <w:rPr>
          <w:rFonts w:asciiTheme="minorHAnsi" w:eastAsiaTheme="minorHAnsi" w:hAnsiTheme="minorHAnsi" w:cstheme="minorHAnsi"/>
          <w:sz w:val="20"/>
          <w:szCs w:val="20"/>
        </w:rPr>
        <w:t>Source: Compiled from CoStar, Completely Retail</w:t>
      </w:r>
      <w:r w:rsidR="00F46539" w:rsidRPr="00F46539">
        <w:rPr>
          <w:rFonts w:asciiTheme="minorHAnsi" w:eastAsiaTheme="minorHAnsi" w:hAnsiTheme="minorHAnsi" w:cstheme="minorHAnsi"/>
          <w:sz w:val="20"/>
          <w:szCs w:val="20"/>
        </w:rPr>
        <w:t>,</w:t>
      </w:r>
      <w:r w:rsidRPr="00F46539">
        <w:rPr>
          <w:rFonts w:asciiTheme="minorHAnsi" w:eastAsiaTheme="minorHAnsi" w:hAnsiTheme="minorHAnsi" w:cstheme="minorHAnsi"/>
          <w:sz w:val="20"/>
          <w:szCs w:val="20"/>
        </w:rPr>
        <w:t xml:space="preserve"> PMA (2020</w:t>
      </w:r>
      <w:r w:rsidR="00EB727F">
        <w:rPr>
          <w:rFonts w:asciiTheme="minorHAnsi" w:eastAsiaTheme="minorHAnsi" w:hAnsiTheme="minorHAnsi" w:cstheme="minorHAnsi"/>
          <w:sz w:val="20"/>
          <w:szCs w:val="20"/>
        </w:rPr>
        <w:t>e</w:t>
      </w:r>
      <w:r w:rsidRPr="00F46539">
        <w:rPr>
          <w:rFonts w:asciiTheme="minorHAnsi" w:eastAsiaTheme="minorHAnsi" w:hAnsiTheme="minorHAnsi" w:cstheme="minorHAnsi"/>
          <w:sz w:val="20"/>
          <w:szCs w:val="20"/>
        </w:rPr>
        <w:t>)</w:t>
      </w:r>
      <w:r w:rsidR="00F46539" w:rsidRPr="00F46539">
        <w:rPr>
          <w:rFonts w:asciiTheme="minorHAnsi" w:eastAsiaTheme="minorHAnsi" w:hAnsiTheme="minorHAnsi" w:cstheme="minorHAnsi"/>
          <w:sz w:val="20"/>
          <w:szCs w:val="20"/>
        </w:rPr>
        <w:t>.</w:t>
      </w:r>
    </w:p>
    <w:p w14:paraId="56B1E0D6" w14:textId="77777777" w:rsidR="0088073B" w:rsidRDefault="0088073B" w:rsidP="000D6649">
      <w:pPr>
        <w:spacing w:line="360" w:lineRule="auto"/>
        <w:jc w:val="both"/>
        <w:rPr>
          <w:rFonts w:asciiTheme="minorHAnsi" w:eastAsiaTheme="minorHAnsi" w:hAnsiTheme="minorHAnsi" w:cstheme="minorHAnsi"/>
          <w:sz w:val="22"/>
          <w:szCs w:val="22"/>
        </w:rPr>
      </w:pPr>
    </w:p>
    <w:p w14:paraId="4F461B27" w14:textId="361F0562" w:rsidR="00915F44" w:rsidRPr="008B0983" w:rsidRDefault="00915F44" w:rsidP="00915F44">
      <w:pPr>
        <w:spacing w:line="360" w:lineRule="auto"/>
        <w:jc w:val="both"/>
        <w:rPr>
          <w:rFonts w:asciiTheme="minorHAnsi" w:eastAsiaTheme="minorHAnsi" w:hAnsiTheme="minorHAnsi" w:cstheme="minorHAnsi"/>
        </w:rPr>
      </w:pPr>
      <w:r w:rsidRPr="008B0983">
        <w:rPr>
          <w:rFonts w:asciiTheme="minorHAnsi" w:eastAsiaTheme="minorHAnsi" w:hAnsiTheme="minorHAnsi" w:cstheme="minorHAnsi"/>
        </w:rPr>
        <w:t>Four small shopping malls exist in Nottingham</w:t>
      </w:r>
      <w:r>
        <w:rPr>
          <w:rFonts w:asciiTheme="minorHAnsi" w:eastAsiaTheme="minorHAnsi" w:hAnsiTheme="minorHAnsi" w:cstheme="minorHAnsi"/>
        </w:rPr>
        <w:t>, as shown in Table 5</w:t>
      </w:r>
      <w:r w:rsidRPr="008B0983">
        <w:rPr>
          <w:rFonts w:asciiTheme="minorHAnsi" w:eastAsiaTheme="minorHAnsi" w:hAnsiTheme="minorHAnsi" w:cstheme="minorHAnsi"/>
        </w:rPr>
        <w:t xml:space="preserve">. Exchange Arcade with an access on to High Street attracts upmarket fashion brands while Flying Horse Walk accommodates a mix of luxury and independent retailers. Trinity </w:t>
      </w:r>
      <w:r w:rsidR="00C60413">
        <w:rPr>
          <w:rFonts w:asciiTheme="minorHAnsi" w:eastAsiaTheme="minorHAnsi" w:hAnsiTheme="minorHAnsi" w:cstheme="minorHAnsi"/>
        </w:rPr>
        <w:t>S</w:t>
      </w:r>
      <w:r w:rsidRPr="008B0983">
        <w:rPr>
          <w:rFonts w:asciiTheme="minorHAnsi" w:eastAsiaTheme="minorHAnsi" w:hAnsiTheme="minorHAnsi" w:cstheme="minorHAnsi"/>
        </w:rPr>
        <w:t>quare is a mixed develop</w:t>
      </w:r>
      <w:r>
        <w:rPr>
          <w:rFonts w:asciiTheme="minorHAnsi" w:eastAsiaTheme="minorHAnsi" w:hAnsiTheme="minorHAnsi" w:cstheme="minorHAnsi"/>
        </w:rPr>
        <w:t>ment</w:t>
      </w:r>
      <w:r w:rsidRPr="008B0983">
        <w:rPr>
          <w:rFonts w:asciiTheme="minorHAnsi" w:eastAsiaTheme="minorHAnsi" w:hAnsiTheme="minorHAnsi" w:cstheme="minorHAnsi"/>
        </w:rPr>
        <w:t xml:space="preserve"> facing Intu Victoria. At street level </w:t>
      </w:r>
      <w:r>
        <w:rPr>
          <w:rFonts w:asciiTheme="minorHAnsi" w:eastAsiaTheme="minorHAnsi" w:hAnsiTheme="minorHAnsi" w:cstheme="minorHAnsi"/>
        </w:rPr>
        <w:t xml:space="preserve">there </w:t>
      </w:r>
      <w:r w:rsidRPr="008B0983">
        <w:rPr>
          <w:rFonts w:asciiTheme="minorHAnsi" w:eastAsiaTheme="minorHAnsi" w:hAnsiTheme="minorHAnsi" w:cstheme="minorHAnsi"/>
        </w:rPr>
        <w:t xml:space="preserve">are shops, such as TK Max and </w:t>
      </w:r>
      <w:proofErr w:type="spellStart"/>
      <w:r w:rsidRPr="008B0983">
        <w:rPr>
          <w:rFonts w:asciiTheme="minorHAnsi" w:eastAsiaTheme="minorHAnsi" w:hAnsiTheme="minorHAnsi" w:cstheme="minorHAnsi"/>
        </w:rPr>
        <w:t>Currys</w:t>
      </w:r>
      <w:proofErr w:type="spellEnd"/>
      <w:r w:rsidRPr="008B0983">
        <w:rPr>
          <w:rFonts w:asciiTheme="minorHAnsi" w:eastAsiaTheme="minorHAnsi" w:hAnsiTheme="minorHAnsi" w:cstheme="minorHAnsi"/>
        </w:rPr>
        <w:t>/PC World, but student accommodation</w:t>
      </w:r>
      <w:r w:rsidR="004E5CCC">
        <w:rPr>
          <w:rFonts w:asciiTheme="minorHAnsi" w:eastAsiaTheme="minorHAnsi" w:hAnsiTheme="minorHAnsi" w:cstheme="minorHAnsi"/>
        </w:rPr>
        <w:t xml:space="preserve"> is located on the upper floors</w:t>
      </w:r>
      <w:r w:rsidRPr="008B0983">
        <w:rPr>
          <w:rFonts w:asciiTheme="minorHAnsi" w:eastAsiaTheme="minorHAnsi" w:hAnsiTheme="minorHAnsi" w:cstheme="minorHAnsi"/>
        </w:rPr>
        <w:t>. West End Arcade is a small arcade housing independent retailers. It is part of Nottingham City Council’s Future High Streets initiative to rejuvenate the area between Angel Row, Upper Parliament Street and Market Street. Many of the retailing streets within this historical centre also fall with the Heritage Action Zone with a grant scheme launched in 2017 to help property owners reinstate traditional shop frontages and conserve historic buildings.</w:t>
      </w:r>
    </w:p>
    <w:p w14:paraId="1D974531" w14:textId="77777777" w:rsidR="00915F44" w:rsidRDefault="00915F44" w:rsidP="000D6649">
      <w:pPr>
        <w:spacing w:line="360" w:lineRule="auto"/>
        <w:jc w:val="both"/>
        <w:rPr>
          <w:rFonts w:asciiTheme="minorHAnsi" w:eastAsiaTheme="minorHAnsi" w:hAnsiTheme="minorHAnsi" w:cstheme="minorHAnsi"/>
        </w:rPr>
      </w:pPr>
    </w:p>
    <w:p w14:paraId="38A4D1E4" w14:textId="5A8921BF" w:rsidR="002B1BF7" w:rsidRPr="00414684" w:rsidRDefault="002B1BF7" w:rsidP="000D6649">
      <w:pPr>
        <w:spacing w:line="360" w:lineRule="auto"/>
        <w:jc w:val="both"/>
        <w:rPr>
          <w:rFonts w:asciiTheme="minorHAnsi" w:eastAsiaTheme="minorHAnsi" w:hAnsiTheme="minorHAnsi" w:cstheme="minorHAnsi"/>
        </w:rPr>
      </w:pPr>
      <w:r w:rsidRPr="00414684">
        <w:rPr>
          <w:rFonts w:asciiTheme="minorHAnsi" w:eastAsiaTheme="minorHAnsi" w:hAnsiTheme="minorHAnsi" w:cstheme="minorHAnsi"/>
        </w:rPr>
        <w:lastRenderedPageBreak/>
        <w:t xml:space="preserve">Nottingham has a growing population, </w:t>
      </w:r>
      <w:r w:rsidR="004E5CCC">
        <w:rPr>
          <w:rFonts w:asciiTheme="minorHAnsi" w:eastAsiaTheme="minorHAnsi" w:hAnsiTheme="minorHAnsi" w:cstheme="minorHAnsi"/>
        </w:rPr>
        <w:t>increas</w:t>
      </w:r>
      <w:r w:rsidRPr="00414684">
        <w:rPr>
          <w:rFonts w:asciiTheme="minorHAnsi" w:eastAsiaTheme="minorHAnsi" w:hAnsiTheme="minorHAnsi" w:cstheme="minorHAnsi"/>
        </w:rPr>
        <w:t>ing by 16.6% between 2000 and 2017 to 329,200 (</w:t>
      </w:r>
      <w:proofErr w:type="spellStart"/>
      <w:r w:rsidRPr="00414684">
        <w:rPr>
          <w:rFonts w:asciiTheme="minorHAnsi" w:eastAsiaTheme="minorHAnsi" w:hAnsiTheme="minorHAnsi" w:cstheme="minorHAnsi"/>
        </w:rPr>
        <w:t>nomis</w:t>
      </w:r>
      <w:proofErr w:type="spellEnd"/>
      <w:r w:rsidRPr="00414684">
        <w:rPr>
          <w:rFonts w:asciiTheme="minorHAnsi" w:eastAsiaTheme="minorHAnsi" w:hAnsiTheme="minorHAnsi" w:cstheme="minorHAnsi"/>
        </w:rPr>
        <w:t>, 2020) but PMA (2020</w:t>
      </w:r>
      <w:r w:rsidR="00EB727F">
        <w:rPr>
          <w:rFonts w:asciiTheme="minorHAnsi" w:eastAsiaTheme="minorHAnsi" w:hAnsiTheme="minorHAnsi" w:cstheme="minorHAnsi"/>
        </w:rPr>
        <w:t>e</w:t>
      </w:r>
      <w:r w:rsidRPr="00414684">
        <w:rPr>
          <w:rFonts w:asciiTheme="minorHAnsi" w:eastAsiaTheme="minorHAnsi" w:hAnsiTheme="minorHAnsi" w:cstheme="minorHAnsi"/>
        </w:rPr>
        <w:t xml:space="preserve">) claims that it and the </w:t>
      </w:r>
      <w:r w:rsidR="00DB13A1" w:rsidRPr="00414684">
        <w:rPr>
          <w:rFonts w:asciiTheme="minorHAnsi" w:eastAsiaTheme="minorHAnsi" w:hAnsiTheme="minorHAnsi" w:cstheme="minorHAnsi"/>
        </w:rPr>
        <w:t xml:space="preserve">city’s </w:t>
      </w:r>
      <w:r w:rsidRPr="00414684">
        <w:rPr>
          <w:rFonts w:asciiTheme="minorHAnsi" w:eastAsiaTheme="minorHAnsi" w:hAnsiTheme="minorHAnsi" w:cstheme="minorHAnsi"/>
        </w:rPr>
        <w:t xml:space="preserve">wider retail market catchment </w:t>
      </w:r>
      <w:r w:rsidR="00DB13A1" w:rsidRPr="00414684">
        <w:rPr>
          <w:rFonts w:asciiTheme="minorHAnsi" w:eastAsiaTheme="minorHAnsi" w:hAnsiTheme="minorHAnsi" w:cstheme="minorHAnsi"/>
        </w:rPr>
        <w:t>are</w:t>
      </w:r>
      <w:r w:rsidRPr="00414684">
        <w:rPr>
          <w:rFonts w:asciiTheme="minorHAnsi" w:eastAsiaTheme="minorHAnsi" w:hAnsiTheme="minorHAnsi" w:cstheme="minorHAnsi"/>
        </w:rPr>
        <w:t xml:space="preserve"> not particular affluent, presumable because the unemployment rate at 7.3% is above the region</w:t>
      </w:r>
      <w:r w:rsidR="00DB13A1" w:rsidRPr="00414684">
        <w:rPr>
          <w:rFonts w:asciiTheme="minorHAnsi" w:eastAsiaTheme="minorHAnsi" w:hAnsiTheme="minorHAnsi" w:cstheme="minorHAnsi"/>
        </w:rPr>
        <w:t>’s</w:t>
      </w:r>
      <w:r w:rsidRPr="00414684">
        <w:rPr>
          <w:rFonts w:asciiTheme="minorHAnsi" w:eastAsiaTheme="minorHAnsi" w:hAnsiTheme="minorHAnsi" w:cstheme="minorHAnsi"/>
        </w:rPr>
        <w:t xml:space="preserve"> 4.4% average, </w:t>
      </w:r>
      <w:r w:rsidR="00FE6BE9" w:rsidRPr="00414684">
        <w:rPr>
          <w:rFonts w:asciiTheme="minorHAnsi" w:eastAsiaTheme="minorHAnsi" w:hAnsiTheme="minorHAnsi" w:cstheme="minorHAnsi"/>
        </w:rPr>
        <w:t>a</w:t>
      </w:r>
      <w:r w:rsidR="00DB13A1" w:rsidRPr="00414684">
        <w:rPr>
          <w:rFonts w:asciiTheme="minorHAnsi" w:eastAsiaTheme="minorHAnsi" w:hAnsiTheme="minorHAnsi" w:cstheme="minorHAnsi"/>
        </w:rPr>
        <w:t>lthough it</w:t>
      </w:r>
      <w:r w:rsidR="00FE6BE9" w:rsidRPr="00414684">
        <w:rPr>
          <w:rFonts w:asciiTheme="minorHAnsi" w:eastAsiaTheme="minorHAnsi" w:hAnsiTheme="minorHAnsi" w:cstheme="minorHAnsi"/>
        </w:rPr>
        <w:t xml:space="preserve"> is</w:t>
      </w:r>
      <w:r w:rsidRPr="00414684">
        <w:rPr>
          <w:rFonts w:asciiTheme="minorHAnsi" w:eastAsiaTheme="minorHAnsi" w:hAnsiTheme="minorHAnsi" w:cstheme="minorHAnsi"/>
        </w:rPr>
        <w:t xml:space="preserve"> rank</w:t>
      </w:r>
      <w:r w:rsidR="00FE6BE9" w:rsidRPr="00414684">
        <w:rPr>
          <w:rFonts w:asciiTheme="minorHAnsi" w:eastAsiaTheme="minorHAnsi" w:hAnsiTheme="minorHAnsi" w:cstheme="minorHAnsi"/>
        </w:rPr>
        <w:t xml:space="preserve">ed </w:t>
      </w:r>
      <w:r w:rsidRPr="00414684">
        <w:rPr>
          <w:rFonts w:asciiTheme="minorHAnsi" w:eastAsiaTheme="minorHAnsi" w:hAnsiTheme="minorHAnsi" w:cstheme="minorHAnsi"/>
        </w:rPr>
        <w:t>higher than Hull, Liverpool and Glasgow in terms of the affluence of its population</w:t>
      </w:r>
      <w:r w:rsidR="004E5CCC">
        <w:rPr>
          <w:rFonts w:asciiTheme="minorHAnsi" w:eastAsiaTheme="minorHAnsi" w:hAnsiTheme="minorHAnsi" w:cstheme="minorHAnsi"/>
        </w:rPr>
        <w:t xml:space="preserve"> (PMA, 2021)</w:t>
      </w:r>
      <w:r w:rsidRPr="00414684">
        <w:rPr>
          <w:rFonts w:asciiTheme="minorHAnsi" w:eastAsiaTheme="minorHAnsi" w:hAnsiTheme="minorHAnsi" w:cstheme="minorHAnsi"/>
        </w:rPr>
        <w:t xml:space="preserve">. </w:t>
      </w:r>
      <w:r w:rsidR="006137D8" w:rsidRPr="00414684">
        <w:rPr>
          <w:rFonts w:asciiTheme="minorHAnsi" w:eastAsiaTheme="minorHAnsi" w:hAnsiTheme="minorHAnsi" w:cstheme="minorHAnsi"/>
        </w:rPr>
        <w:t xml:space="preserve">The city also has a large student population with 63,990 registered students at </w:t>
      </w:r>
      <w:r w:rsidR="00DB13A1" w:rsidRPr="00414684">
        <w:rPr>
          <w:rFonts w:asciiTheme="minorHAnsi" w:eastAsiaTheme="minorHAnsi" w:hAnsiTheme="minorHAnsi" w:cstheme="minorHAnsi"/>
        </w:rPr>
        <w:t xml:space="preserve">the </w:t>
      </w:r>
      <w:r w:rsidR="006137D8" w:rsidRPr="00414684">
        <w:rPr>
          <w:rFonts w:asciiTheme="minorHAnsi" w:eastAsiaTheme="minorHAnsi" w:hAnsiTheme="minorHAnsi" w:cstheme="minorHAnsi"/>
        </w:rPr>
        <w:t>University of Nottingham and Nottingham Trent University in the 2017/18 academic session (HESA,2020).</w:t>
      </w:r>
    </w:p>
    <w:p w14:paraId="348AEED7" w14:textId="50F97CDB" w:rsidR="00FE6BE9" w:rsidRPr="00414684" w:rsidRDefault="00FE6BE9" w:rsidP="000D6649">
      <w:pPr>
        <w:spacing w:line="360" w:lineRule="auto"/>
        <w:jc w:val="both"/>
        <w:rPr>
          <w:rFonts w:asciiTheme="minorHAnsi" w:eastAsiaTheme="minorHAnsi" w:hAnsiTheme="minorHAnsi" w:cstheme="minorHAnsi"/>
        </w:rPr>
      </w:pPr>
    </w:p>
    <w:p w14:paraId="18C3201B" w14:textId="5F1E4F80" w:rsidR="00EB24B1" w:rsidRPr="00414684" w:rsidRDefault="00FE6BE9" w:rsidP="000D6649">
      <w:pPr>
        <w:spacing w:line="360" w:lineRule="auto"/>
        <w:jc w:val="both"/>
        <w:rPr>
          <w:rFonts w:ascii="Arial" w:hAnsi="Arial" w:cs="Arial"/>
          <w:position w:val="-6"/>
        </w:rPr>
      </w:pPr>
      <w:r w:rsidRPr="00414684">
        <w:rPr>
          <w:rFonts w:asciiTheme="minorHAnsi" w:eastAsiaTheme="minorHAnsi" w:hAnsiTheme="minorHAnsi" w:cstheme="minorHAnsi"/>
        </w:rPr>
        <w:t>The</w:t>
      </w:r>
      <w:r w:rsidR="00EB24B1" w:rsidRPr="00414684">
        <w:rPr>
          <w:rFonts w:asciiTheme="minorHAnsi" w:eastAsiaTheme="minorHAnsi" w:hAnsiTheme="minorHAnsi" w:cstheme="minorHAnsi"/>
        </w:rPr>
        <w:t>re</w:t>
      </w:r>
      <w:r w:rsidRPr="00414684">
        <w:rPr>
          <w:rFonts w:asciiTheme="minorHAnsi" w:eastAsiaTheme="minorHAnsi" w:hAnsiTheme="minorHAnsi" w:cstheme="minorHAnsi"/>
        </w:rPr>
        <w:t xml:space="preserve"> has been substantial growth in the service sector in Nottingham, growing by 70.9% over the study period. Over the same period production, manufacturing and construction output </w:t>
      </w:r>
      <w:r w:rsidR="00C93753" w:rsidRPr="00414684">
        <w:rPr>
          <w:rFonts w:asciiTheme="minorHAnsi" w:eastAsiaTheme="minorHAnsi" w:hAnsiTheme="minorHAnsi" w:cstheme="minorHAnsi"/>
        </w:rPr>
        <w:t xml:space="preserve">as a percentage of GVA has fallen. </w:t>
      </w:r>
      <w:r w:rsidR="00DB13A1" w:rsidRPr="00414684">
        <w:rPr>
          <w:rFonts w:asciiTheme="minorHAnsi" w:eastAsiaTheme="minorHAnsi" w:hAnsiTheme="minorHAnsi" w:cstheme="minorHAnsi"/>
        </w:rPr>
        <w:t>The r</w:t>
      </w:r>
      <w:r w:rsidR="00C93753" w:rsidRPr="00414684">
        <w:rPr>
          <w:rFonts w:asciiTheme="minorHAnsi" w:eastAsiaTheme="minorHAnsi" w:hAnsiTheme="minorHAnsi" w:cstheme="minorHAnsi"/>
        </w:rPr>
        <w:t xml:space="preserve">etail and leisure </w:t>
      </w:r>
      <w:r w:rsidR="00EB24B1" w:rsidRPr="00414684">
        <w:rPr>
          <w:rFonts w:asciiTheme="minorHAnsi" w:eastAsiaTheme="minorHAnsi" w:hAnsiTheme="minorHAnsi" w:cstheme="minorHAnsi"/>
        </w:rPr>
        <w:t xml:space="preserve">sector </w:t>
      </w:r>
      <w:r w:rsidR="00C93753" w:rsidRPr="00414684">
        <w:rPr>
          <w:rFonts w:asciiTheme="minorHAnsi" w:eastAsiaTheme="minorHAnsi" w:hAnsiTheme="minorHAnsi" w:cstheme="minorHAnsi"/>
        </w:rPr>
        <w:t>account</w:t>
      </w:r>
      <w:r w:rsidR="00DB13A1" w:rsidRPr="00414684">
        <w:rPr>
          <w:rFonts w:asciiTheme="minorHAnsi" w:eastAsiaTheme="minorHAnsi" w:hAnsiTheme="minorHAnsi" w:cstheme="minorHAnsi"/>
        </w:rPr>
        <w:t>ed</w:t>
      </w:r>
      <w:r w:rsidR="00C93753" w:rsidRPr="00414684">
        <w:rPr>
          <w:rFonts w:asciiTheme="minorHAnsi" w:eastAsiaTheme="minorHAnsi" w:hAnsiTheme="minorHAnsi" w:cstheme="minorHAnsi"/>
        </w:rPr>
        <w:t xml:space="preserve"> for 25.1% of the jobs in Nottingham and 13.6% of output</w:t>
      </w:r>
      <w:r w:rsidR="00DB13A1" w:rsidRPr="00414684">
        <w:rPr>
          <w:rFonts w:asciiTheme="minorHAnsi" w:eastAsiaTheme="minorHAnsi" w:hAnsiTheme="minorHAnsi" w:cstheme="minorHAnsi"/>
        </w:rPr>
        <w:t xml:space="preserve"> in 2017</w:t>
      </w:r>
      <w:r w:rsidR="004E5CCC">
        <w:rPr>
          <w:rFonts w:asciiTheme="minorHAnsi" w:eastAsiaTheme="minorHAnsi" w:hAnsiTheme="minorHAnsi" w:cstheme="minorHAnsi"/>
        </w:rPr>
        <w:t xml:space="preserve"> </w:t>
      </w:r>
      <w:r w:rsidR="004E5CCC" w:rsidRPr="008B0983">
        <w:rPr>
          <w:rFonts w:asciiTheme="minorHAnsi" w:eastAsiaTheme="minorHAnsi" w:hAnsiTheme="minorHAnsi" w:cstheme="minorHAnsi"/>
        </w:rPr>
        <w:t>(ONS, 2019).</w:t>
      </w:r>
    </w:p>
    <w:p w14:paraId="0E395DC7" w14:textId="49CF4FE4" w:rsidR="0088073B" w:rsidRPr="00414684" w:rsidRDefault="0088073B" w:rsidP="000D6649">
      <w:pPr>
        <w:spacing w:line="360" w:lineRule="auto"/>
        <w:jc w:val="both"/>
        <w:rPr>
          <w:rFonts w:asciiTheme="minorHAnsi" w:eastAsiaTheme="minorHAnsi" w:hAnsiTheme="minorHAnsi" w:cstheme="minorHAnsi"/>
        </w:rPr>
      </w:pPr>
    </w:p>
    <w:p w14:paraId="284C5118" w14:textId="4B122D70" w:rsidR="00446F93" w:rsidRPr="00414684" w:rsidRDefault="0088073B" w:rsidP="0058634B">
      <w:pPr>
        <w:spacing w:line="360" w:lineRule="auto"/>
        <w:jc w:val="both"/>
      </w:pPr>
      <w:r w:rsidRPr="00414684">
        <w:rPr>
          <w:rFonts w:asciiTheme="minorHAnsi" w:eastAsiaTheme="minorHAnsi" w:hAnsiTheme="minorHAnsi" w:cstheme="minorHAnsi"/>
        </w:rPr>
        <w:t>Nottingham Express Transit (NET)</w:t>
      </w:r>
      <w:r w:rsidR="00EB24B1" w:rsidRPr="00414684">
        <w:rPr>
          <w:rFonts w:asciiTheme="minorHAnsi" w:eastAsiaTheme="minorHAnsi" w:hAnsiTheme="minorHAnsi" w:cstheme="minorHAnsi"/>
        </w:rPr>
        <w:t xml:space="preserve"> is a tram system currently 32 km long that links t</w:t>
      </w:r>
      <w:r w:rsidRPr="00414684">
        <w:rPr>
          <w:rFonts w:asciiTheme="minorHAnsi" w:eastAsiaTheme="minorHAnsi" w:hAnsiTheme="minorHAnsi" w:cstheme="minorHAnsi"/>
        </w:rPr>
        <w:t>he city</w:t>
      </w:r>
      <w:r w:rsidR="00EB24B1" w:rsidRPr="00414684">
        <w:rPr>
          <w:rFonts w:asciiTheme="minorHAnsi" w:eastAsiaTheme="minorHAnsi" w:hAnsiTheme="minorHAnsi" w:cstheme="minorHAnsi"/>
        </w:rPr>
        <w:t xml:space="preserve"> to the</w:t>
      </w:r>
      <w:r w:rsidRPr="00414684">
        <w:rPr>
          <w:rFonts w:asciiTheme="minorHAnsi" w:eastAsiaTheme="minorHAnsi" w:hAnsiTheme="minorHAnsi" w:cstheme="minorHAnsi"/>
        </w:rPr>
        <w:t xml:space="preserve"> surrounding areas</w:t>
      </w:r>
      <w:r w:rsidR="00EB24B1" w:rsidRPr="00414684">
        <w:rPr>
          <w:rFonts w:asciiTheme="minorHAnsi" w:eastAsiaTheme="minorHAnsi" w:hAnsiTheme="minorHAnsi" w:cstheme="minorHAnsi"/>
        </w:rPr>
        <w:t xml:space="preserve">. The first phase opened in 2004 running from the north into Station Street in the city centre. Phase 2 opened in </w:t>
      </w:r>
      <w:r w:rsidR="00895166" w:rsidRPr="00414684">
        <w:rPr>
          <w:rFonts w:asciiTheme="minorHAnsi" w:eastAsiaTheme="minorHAnsi" w:hAnsiTheme="minorHAnsi" w:cstheme="minorHAnsi"/>
        </w:rPr>
        <w:t>2015 and runs from the west into the city centre. The terminus in the city is at Nottingham Station which is also the city’s principal railway station. The station under</w:t>
      </w:r>
      <w:r w:rsidR="00F82E43" w:rsidRPr="00414684">
        <w:rPr>
          <w:rFonts w:asciiTheme="minorHAnsi" w:eastAsiaTheme="minorHAnsi" w:hAnsiTheme="minorHAnsi" w:cstheme="minorHAnsi"/>
        </w:rPr>
        <w:t>went</w:t>
      </w:r>
      <w:r w:rsidR="00895166" w:rsidRPr="00414684">
        <w:rPr>
          <w:rFonts w:asciiTheme="minorHAnsi" w:eastAsiaTheme="minorHAnsi" w:hAnsiTheme="minorHAnsi" w:cstheme="minorHAnsi"/>
        </w:rPr>
        <w:t xml:space="preserve"> </w:t>
      </w:r>
      <w:r w:rsidR="00F82E43" w:rsidRPr="00414684">
        <w:rPr>
          <w:rFonts w:asciiTheme="minorHAnsi" w:eastAsiaTheme="minorHAnsi" w:hAnsiTheme="minorHAnsi" w:cstheme="minorHAnsi"/>
        </w:rPr>
        <w:t>phased</w:t>
      </w:r>
      <w:r w:rsidR="00895166" w:rsidRPr="00414684">
        <w:rPr>
          <w:rFonts w:asciiTheme="minorHAnsi" w:eastAsiaTheme="minorHAnsi" w:hAnsiTheme="minorHAnsi" w:cstheme="minorHAnsi"/>
        </w:rPr>
        <w:t xml:space="preserve"> redeveloped between 2011</w:t>
      </w:r>
      <w:r w:rsidR="00414684">
        <w:rPr>
          <w:rFonts w:asciiTheme="minorHAnsi" w:eastAsiaTheme="minorHAnsi" w:hAnsiTheme="minorHAnsi" w:cstheme="minorHAnsi"/>
        </w:rPr>
        <w:t xml:space="preserve"> and</w:t>
      </w:r>
      <w:r w:rsidR="00895166" w:rsidRPr="00414684">
        <w:rPr>
          <w:rFonts w:asciiTheme="minorHAnsi" w:eastAsiaTheme="minorHAnsi" w:hAnsiTheme="minorHAnsi" w:cstheme="minorHAnsi"/>
        </w:rPr>
        <w:t xml:space="preserve"> 2013 </w:t>
      </w:r>
      <w:r w:rsidR="00F82E43" w:rsidRPr="00414684">
        <w:rPr>
          <w:rFonts w:asciiTheme="minorHAnsi" w:eastAsiaTheme="minorHAnsi" w:hAnsiTheme="minorHAnsi" w:cstheme="minorHAnsi"/>
        </w:rPr>
        <w:t xml:space="preserve">which </w:t>
      </w:r>
      <w:r w:rsidR="00895166" w:rsidRPr="00414684">
        <w:rPr>
          <w:rFonts w:asciiTheme="minorHAnsi" w:eastAsiaTheme="minorHAnsi" w:hAnsiTheme="minorHAnsi" w:cstheme="minorHAnsi"/>
        </w:rPr>
        <w:t>included the construction of a car park, a new platform, more shops and</w:t>
      </w:r>
      <w:r w:rsidR="000D6649" w:rsidRPr="00414684">
        <w:rPr>
          <w:rFonts w:asciiTheme="minorHAnsi" w:eastAsiaTheme="minorHAnsi" w:hAnsiTheme="minorHAnsi" w:cstheme="minorHAnsi"/>
        </w:rPr>
        <w:t xml:space="preserve"> </w:t>
      </w:r>
      <w:r w:rsidR="004E5CCC">
        <w:rPr>
          <w:rFonts w:asciiTheme="minorHAnsi" w:eastAsiaTheme="minorHAnsi" w:hAnsiTheme="minorHAnsi" w:cstheme="minorHAnsi"/>
        </w:rPr>
        <w:t xml:space="preserve">the </w:t>
      </w:r>
      <w:r w:rsidR="000D6649" w:rsidRPr="00414684">
        <w:rPr>
          <w:rFonts w:asciiTheme="minorHAnsi" w:eastAsiaTheme="minorHAnsi" w:hAnsiTheme="minorHAnsi" w:cstheme="minorHAnsi"/>
        </w:rPr>
        <w:t xml:space="preserve">tram </w:t>
      </w:r>
      <w:r w:rsidR="00414684">
        <w:rPr>
          <w:rFonts w:asciiTheme="minorHAnsi" w:eastAsiaTheme="minorHAnsi" w:hAnsiTheme="minorHAnsi" w:cstheme="minorHAnsi"/>
        </w:rPr>
        <w:t>terminus</w:t>
      </w:r>
      <w:r w:rsidR="000D6649" w:rsidRPr="00414684">
        <w:rPr>
          <w:rFonts w:asciiTheme="minorHAnsi" w:eastAsiaTheme="minorHAnsi" w:hAnsiTheme="minorHAnsi" w:cstheme="minorHAnsi"/>
        </w:rPr>
        <w:t>, constructed as a</w:t>
      </w:r>
      <w:r w:rsidR="00895166" w:rsidRPr="00414684">
        <w:rPr>
          <w:rFonts w:asciiTheme="minorHAnsi" w:eastAsiaTheme="minorHAnsi" w:hAnsiTheme="minorHAnsi" w:cstheme="minorHAnsi"/>
        </w:rPr>
        <w:t xml:space="preserve"> bridge </w:t>
      </w:r>
      <w:r w:rsidR="000D6649" w:rsidRPr="00414684">
        <w:rPr>
          <w:rFonts w:asciiTheme="minorHAnsi" w:eastAsiaTheme="minorHAnsi" w:hAnsiTheme="minorHAnsi" w:cstheme="minorHAnsi"/>
        </w:rPr>
        <w:t>over the railway station</w:t>
      </w:r>
      <w:r w:rsidR="0058634B" w:rsidRPr="00414684">
        <w:rPr>
          <w:rFonts w:asciiTheme="minorHAnsi" w:eastAsiaTheme="minorHAnsi" w:hAnsiTheme="minorHAnsi" w:cstheme="minorHAnsi"/>
        </w:rPr>
        <w:t>.</w:t>
      </w:r>
    </w:p>
    <w:p w14:paraId="1EFB4CC7" w14:textId="29BD3567" w:rsidR="008C46C2" w:rsidRDefault="008C46C2" w:rsidP="00F31869">
      <w:pPr>
        <w:jc w:val="both"/>
        <w:rPr>
          <w:sz w:val="28"/>
          <w:szCs w:val="28"/>
        </w:rPr>
      </w:pPr>
    </w:p>
    <w:p w14:paraId="5AB6725B" w14:textId="77777777" w:rsidR="008C46C2" w:rsidRPr="0058634B" w:rsidRDefault="008C46C2" w:rsidP="00F31869">
      <w:pPr>
        <w:jc w:val="both"/>
        <w:rPr>
          <w:rFonts w:asciiTheme="minorHAnsi" w:eastAsiaTheme="minorHAnsi" w:hAnsiTheme="minorHAnsi" w:cstheme="minorHAnsi"/>
          <w:sz w:val="22"/>
          <w:szCs w:val="22"/>
        </w:rPr>
      </w:pPr>
    </w:p>
    <w:p w14:paraId="3ACCB63B" w14:textId="50D9AB55" w:rsidR="001B2BAE" w:rsidRPr="00F345D5" w:rsidRDefault="00177139" w:rsidP="00F31869">
      <w:pPr>
        <w:pStyle w:val="Heading1"/>
        <w:rPr>
          <w:rFonts w:asciiTheme="minorHAnsi" w:hAnsiTheme="minorHAnsi"/>
          <w:b/>
          <w:bCs/>
          <w:sz w:val="26"/>
          <w:szCs w:val="26"/>
        </w:rPr>
      </w:pPr>
      <w:r w:rsidRPr="00F345D5">
        <w:rPr>
          <w:rFonts w:asciiTheme="minorHAnsi" w:hAnsiTheme="minorHAnsi"/>
          <w:b/>
          <w:bCs/>
          <w:sz w:val="26"/>
          <w:szCs w:val="26"/>
        </w:rPr>
        <w:t>6</w:t>
      </w:r>
      <w:r w:rsidR="008B0101">
        <w:rPr>
          <w:rFonts w:asciiTheme="minorHAnsi" w:hAnsiTheme="minorHAnsi"/>
          <w:b/>
          <w:bCs/>
          <w:sz w:val="26"/>
          <w:szCs w:val="26"/>
        </w:rPr>
        <w:tab/>
      </w:r>
      <w:r w:rsidR="00071E32">
        <w:rPr>
          <w:rFonts w:asciiTheme="minorHAnsi" w:hAnsiTheme="minorHAnsi"/>
          <w:b/>
          <w:bCs/>
          <w:sz w:val="26"/>
          <w:szCs w:val="26"/>
        </w:rPr>
        <w:t>Conclusions</w:t>
      </w:r>
    </w:p>
    <w:p w14:paraId="2566B8BB" w14:textId="77777777" w:rsidR="001B2BAE" w:rsidRPr="00414684" w:rsidRDefault="001B2BAE" w:rsidP="00F82E43">
      <w:pPr>
        <w:pStyle w:val="NoSpacing"/>
        <w:rPr>
          <w:sz w:val="24"/>
          <w:szCs w:val="24"/>
        </w:rPr>
      </w:pPr>
    </w:p>
    <w:p w14:paraId="7ACB9238" w14:textId="2A0D0731" w:rsidR="001B2BAE" w:rsidRDefault="001B2BAE" w:rsidP="001B2BAE">
      <w:pPr>
        <w:spacing w:line="360" w:lineRule="auto"/>
        <w:jc w:val="both"/>
        <w:rPr>
          <w:rFonts w:asciiTheme="minorHAnsi" w:eastAsiaTheme="minorHAnsi" w:hAnsiTheme="minorHAnsi" w:cstheme="minorHAnsi"/>
        </w:rPr>
      </w:pPr>
      <w:r w:rsidRPr="00414684">
        <w:rPr>
          <w:rFonts w:asciiTheme="minorHAnsi" w:eastAsiaTheme="minorHAnsi" w:hAnsiTheme="minorHAnsi" w:cstheme="minorHAnsi"/>
        </w:rPr>
        <w:t>All five selected case studies – Edinburgh, Glasgow, Hull, Liverpool and Nottingham - are regional</w:t>
      </w:r>
      <w:r w:rsidR="00071E32">
        <w:rPr>
          <w:rFonts w:asciiTheme="minorHAnsi" w:eastAsiaTheme="minorHAnsi" w:hAnsiTheme="minorHAnsi" w:cstheme="minorHAnsi"/>
        </w:rPr>
        <w:t>ly significant</w:t>
      </w:r>
      <w:r w:rsidRPr="00414684">
        <w:rPr>
          <w:rFonts w:asciiTheme="minorHAnsi" w:eastAsiaTheme="minorHAnsi" w:hAnsiTheme="minorHAnsi" w:cstheme="minorHAnsi"/>
        </w:rPr>
        <w:t xml:space="preserve"> centres that have and still undergoing post-industrial transformation. The processes of change have similarities, although at different speeds, with “</w:t>
      </w:r>
      <w:proofErr w:type="spellStart"/>
      <w:r w:rsidRPr="00414684">
        <w:rPr>
          <w:rFonts w:asciiTheme="minorHAnsi" w:eastAsiaTheme="minorHAnsi" w:hAnsiTheme="minorHAnsi" w:cstheme="minorHAnsi"/>
        </w:rPr>
        <w:t>retailisation</w:t>
      </w:r>
      <w:proofErr w:type="spellEnd"/>
      <w:r w:rsidRPr="00414684">
        <w:rPr>
          <w:rFonts w:asciiTheme="minorHAnsi" w:eastAsiaTheme="minorHAnsi" w:hAnsiTheme="minorHAnsi" w:cstheme="minorHAnsi"/>
        </w:rPr>
        <w:t xml:space="preserve">” central to these changes. This includes the pedestrianisation of linear shopping strips, development and expansion of adjacent “in-town” shopping malls, new outdoor spaces for cafes, restaurants and bars, city festivals, events and extensive renovations of the public realm in the city centre. The choice of case studies has been driven with the intention to capture similarity and variation in size, development activity and economic structure to provide comparative and contrasting </w:t>
      </w:r>
      <w:r w:rsidRPr="00414684">
        <w:rPr>
          <w:rFonts w:asciiTheme="minorHAnsi" w:eastAsiaTheme="minorHAnsi" w:hAnsiTheme="minorHAnsi" w:cstheme="minorHAnsi"/>
        </w:rPr>
        <w:lastRenderedPageBreak/>
        <w:t xml:space="preserve">insights into how </w:t>
      </w:r>
      <w:r w:rsidR="00F82E43" w:rsidRPr="00414684">
        <w:rPr>
          <w:rFonts w:asciiTheme="minorHAnsi" w:eastAsiaTheme="minorHAnsi" w:hAnsiTheme="minorHAnsi" w:cstheme="minorHAnsi"/>
        </w:rPr>
        <w:t xml:space="preserve">these </w:t>
      </w:r>
      <w:r w:rsidRPr="00414684">
        <w:rPr>
          <w:rFonts w:asciiTheme="minorHAnsi" w:eastAsiaTheme="minorHAnsi" w:hAnsiTheme="minorHAnsi" w:cstheme="minorHAnsi"/>
        </w:rPr>
        <w:t xml:space="preserve">city retailing </w:t>
      </w:r>
      <w:r w:rsidR="00F82E43" w:rsidRPr="00414684">
        <w:rPr>
          <w:rFonts w:asciiTheme="minorHAnsi" w:eastAsiaTheme="minorHAnsi" w:hAnsiTheme="minorHAnsi" w:cstheme="minorHAnsi"/>
        </w:rPr>
        <w:t xml:space="preserve">centres have </w:t>
      </w:r>
      <w:r w:rsidRPr="00414684">
        <w:rPr>
          <w:rFonts w:asciiTheme="minorHAnsi" w:eastAsiaTheme="minorHAnsi" w:hAnsiTheme="minorHAnsi" w:cstheme="minorHAnsi"/>
        </w:rPr>
        <w:t>adapt</w:t>
      </w:r>
      <w:r w:rsidR="008A4350">
        <w:rPr>
          <w:rFonts w:asciiTheme="minorHAnsi" w:eastAsiaTheme="minorHAnsi" w:hAnsiTheme="minorHAnsi" w:cstheme="minorHAnsi"/>
        </w:rPr>
        <w:t>ed</w:t>
      </w:r>
      <w:r w:rsidRPr="00414684">
        <w:rPr>
          <w:rFonts w:asciiTheme="minorHAnsi" w:eastAsiaTheme="minorHAnsi" w:hAnsiTheme="minorHAnsi" w:cstheme="minorHAnsi"/>
        </w:rPr>
        <w:t xml:space="preserve"> and evolve</w:t>
      </w:r>
      <w:r w:rsidR="008A4350">
        <w:rPr>
          <w:rFonts w:asciiTheme="minorHAnsi" w:eastAsiaTheme="minorHAnsi" w:hAnsiTheme="minorHAnsi" w:cstheme="minorHAnsi"/>
        </w:rPr>
        <w:t>d</w:t>
      </w:r>
      <w:r w:rsidR="00F82E43" w:rsidRPr="00414684">
        <w:rPr>
          <w:rFonts w:asciiTheme="minorHAnsi" w:eastAsiaTheme="minorHAnsi" w:hAnsiTheme="minorHAnsi" w:cstheme="minorHAnsi"/>
        </w:rPr>
        <w:t xml:space="preserve"> with a particular micro-level focus </w:t>
      </w:r>
      <w:r w:rsidR="00414684" w:rsidRPr="00414684">
        <w:rPr>
          <w:rFonts w:asciiTheme="minorHAnsi" w:eastAsiaTheme="minorHAnsi" w:hAnsiTheme="minorHAnsi" w:cstheme="minorHAnsi"/>
        </w:rPr>
        <w:t>o</w:t>
      </w:r>
      <w:r w:rsidR="00F82E43" w:rsidRPr="00414684">
        <w:rPr>
          <w:rFonts w:asciiTheme="minorHAnsi" w:eastAsiaTheme="minorHAnsi" w:hAnsiTheme="minorHAnsi" w:cstheme="minorHAnsi"/>
        </w:rPr>
        <w:t>n the spatial variation and change that has occurred with</w:t>
      </w:r>
      <w:r w:rsidR="004E5CCC">
        <w:rPr>
          <w:rFonts w:asciiTheme="minorHAnsi" w:eastAsiaTheme="minorHAnsi" w:hAnsiTheme="minorHAnsi" w:cstheme="minorHAnsi"/>
        </w:rPr>
        <w:t>in</w:t>
      </w:r>
      <w:r w:rsidR="00F82E43" w:rsidRPr="00414684">
        <w:rPr>
          <w:rFonts w:asciiTheme="minorHAnsi" w:eastAsiaTheme="minorHAnsi" w:hAnsiTheme="minorHAnsi" w:cstheme="minorHAnsi"/>
        </w:rPr>
        <w:t xml:space="preserve"> their systems.</w:t>
      </w:r>
    </w:p>
    <w:p w14:paraId="75C80175" w14:textId="77777777" w:rsidR="001F5F43" w:rsidRPr="001F5F43" w:rsidRDefault="001F5F43" w:rsidP="001F5F43">
      <w:pPr>
        <w:spacing w:after="200" w:line="360" w:lineRule="auto"/>
        <w:jc w:val="both"/>
        <w:rPr>
          <w:rFonts w:asciiTheme="minorHAnsi" w:hAnsiTheme="minorHAnsi" w:cstheme="minorHAnsi"/>
          <w:bCs/>
          <w:color w:val="000000" w:themeColor="text1"/>
        </w:rPr>
      </w:pPr>
    </w:p>
    <w:p w14:paraId="0BF8E95E" w14:textId="77777777" w:rsidR="00162F8B" w:rsidRPr="00343FC2" w:rsidRDefault="00162F8B" w:rsidP="001F5F43">
      <w:pPr>
        <w:pStyle w:val="Heading2"/>
        <w:spacing w:after="120"/>
        <w:rPr>
          <w:rFonts w:asciiTheme="minorHAnsi" w:hAnsiTheme="minorHAnsi" w:cstheme="minorHAnsi"/>
          <w:b/>
          <w:bCs/>
          <w:sz w:val="24"/>
          <w:szCs w:val="24"/>
        </w:rPr>
      </w:pPr>
      <w:r w:rsidRPr="00343FC2">
        <w:rPr>
          <w:rFonts w:asciiTheme="minorHAnsi" w:hAnsiTheme="minorHAnsi" w:cstheme="minorHAnsi"/>
          <w:b/>
          <w:bCs/>
          <w:sz w:val="24"/>
          <w:szCs w:val="24"/>
        </w:rPr>
        <w:t>References</w:t>
      </w:r>
    </w:p>
    <w:p w14:paraId="2EF3AF77" w14:textId="52865BDA" w:rsidR="00CF6DBF" w:rsidRPr="005C7624" w:rsidRDefault="00CF6DBF" w:rsidP="001F5F43">
      <w:pPr>
        <w:pStyle w:val="NoSpacing"/>
        <w:spacing w:after="120"/>
        <w:jc w:val="both"/>
        <w:rPr>
          <w:rFonts w:cstheme="minorHAnsi"/>
          <w:sz w:val="24"/>
          <w:szCs w:val="24"/>
        </w:rPr>
      </w:pPr>
      <w:r w:rsidRPr="005C7624">
        <w:rPr>
          <w:rFonts w:cstheme="minorHAnsi"/>
          <w:sz w:val="24"/>
          <w:szCs w:val="24"/>
        </w:rPr>
        <w:t xml:space="preserve">Berriman, M (2018) </w:t>
      </w:r>
      <w:r w:rsidRPr="005C7624">
        <w:rPr>
          <w:rFonts w:cstheme="minorHAnsi"/>
          <w:i/>
          <w:iCs/>
          <w:sz w:val="24"/>
          <w:szCs w:val="24"/>
        </w:rPr>
        <w:t>Hull’s tourism economy tops £300 million,</w:t>
      </w:r>
      <w:r w:rsidRPr="005C7624">
        <w:rPr>
          <w:rFonts w:cstheme="minorHAnsi"/>
          <w:sz w:val="24"/>
          <w:szCs w:val="24"/>
        </w:rPr>
        <w:t xml:space="preserve"> News 21 November 2018, Invest Hull, available at </w:t>
      </w:r>
      <w:hyperlink r:id="rId25" w:history="1">
        <w:r w:rsidRPr="005C7624">
          <w:rPr>
            <w:rStyle w:val="Hyperlink"/>
            <w:rFonts w:cstheme="minorHAnsi"/>
            <w:sz w:val="24"/>
            <w:szCs w:val="24"/>
          </w:rPr>
          <w:t>https://investhull.co.uk/latest-news/hulls-tourism-economy-tops-300-million</w:t>
        </w:r>
      </w:hyperlink>
      <w:r w:rsidRPr="005C7624">
        <w:rPr>
          <w:rFonts w:cstheme="minorHAnsi"/>
          <w:sz w:val="24"/>
          <w:szCs w:val="24"/>
        </w:rPr>
        <w:t>.</w:t>
      </w:r>
    </w:p>
    <w:p w14:paraId="0F59ADCD" w14:textId="37444E8E" w:rsidR="00AF0AB3" w:rsidRPr="005C7624" w:rsidRDefault="007C0CB7" w:rsidP="001F5F43">
      <w:pPr>
        <w:pStyle w:val="NoSpacing"/>
        <w:spacing w:after="120"/>
        <w:jc w:val="both"/>
        <w:rPr>
          <w:rFonts w:cstheme="minorHAnsi"/>
          <w:bCs/>
          <w:sz w:val="24"/>
          <w:szCs w:val="24"/>
        </w:rPr>
      </w:pPr>
      <w:r w:rsidRPr="005C7624">
        <w:rPr>
          <w:rFonts w:cstheme="minorHAnsi"/>
          <w:bCs/>
          <w:sz w:val="24"/>
          <w:szCs w:val="24"/>
        </w:rPr>
        <w:t>Berry</w:t>
      </w:r>
      <w:r w:rsidR="00BF04A3" w:rsidRPr="005C7624">
        <w:rPr>
          <w:rFonts w:cstheme="minorHAnsi"/>
          <w:bCs/>
          <w:sz w:val="24"/>
          <w:szCs w:val="24"/>
        </w:rPr>
        <w:t>, B J</w:t>
      </w:r>
      <w:r w:rsidRPr="005C7624">
        <w:rPr>
          <w:rFonts w:cstheme="minorHAnsi"/>
          <w:bCs/>
          <w:sz w:val="24"/>
          <w:szCs w:val="24"/>
        </w:rPr>
        <w:t xml:space="preserve"> </w:t>
      </w:r>
      <w:r w:rsidR="00BF04A3" w:rsidRPr="005C7624">
        <w:rPr>
          <w:rFonts w:cstheme="minorHAnsi"/>
          <w:bCs/>
          <w:sz w:val="24"/>
          <w:szCs w:val="24"/>
        </w:rPr>
        <w:t xml:space="preserve">L </w:t>
      </w:r>
      <w:r w:rsidRPr="005C7624">
        <w:rPr>
          <w:rFonts w:cstheme="minorHAnsi"/>
          <w:bCs/>
          <w:sz w:val="24"/>
          <w:szCs w:val="24"/>
        </w:rPr>
        <w:t>(1963)</w:t>
      </w:r>
      <w:r w:rsidR="00BF04A3" w:rsidRPr="005C7624">
        <w:rPr>
          <w:rFonts w:cstheme="minorHAnsi"/>
          <w:bCs/>
          <w:sz w:val="24"/>
          <w:szCs w:val="24"/>
        </w:rPr>
        <w:t xml:space="preserve"> </w:t>
      </w:r>
      <w:r w:rsidR="00BF04A3" w:rsidRPr="005C7624">
        <w:rPr>
          <w:rFonts w:cstheme="minorHAnsi"/>
          <w:bCs/>
          <w:i/>
          <w:iCs/>
          <w:sz w:val="24"/>
          <w:szCs w:val="24"/>
        </w:rPr>
        <w:t>Commercial Structure and Commercial Blight: Retail patterns and progresses in the city of Chicago,</w:t>
      </w:r>
      <w:r w:rsidR="00BF04A3" w:rsidRPr="005C7624">
        <w:rPr>
          <w:rFonts w:cstheme="minorHAnsi"/>
          <w:bCs/>
          <w:sz w:val="24"/>
          <w:szCs w:val="24"/>
        </w:rPr>
        <w:t xml:space="preserve"> Department of Geography, Research Paper no 85; University of Chicago.</w:t>
      </w:r>
    </w:p>
    <w:p w14:paraId="3312FCE2" w14:textId="5C5E8478" w:rsidR="00073091" w:rsidRPr="005C7624" w:rsidRDefault="00073091" w:rsidP="001F5F43">
      <w:pPr>
        <w:pStyle w:val="NoSpacing"/>
        <w:spacing w:after="120"/>
        <w:jc w:val="both"/>
        <w:rPr>
          <w:rFonts w:cstheme="minorHAnsi"/>
          <w:sz w:val="24"/>
          <w:szCs w:val="24"/>
        </w:rPr>
      </w:pPr>
      <w:r w:rsidRPr="005C7624">
        <w:rPr>
          <w:rFonts w:cstheme="minorHAnsi"/>
          <w:sz w:val="24"/>
          <w:szCs w:val="24"/>
        </w:rPr>
        <w:t xml:space="preserve">Bond, M (2017) Liverpool's cruise terminal celebrating 10th anniversary, </w:t>
      </w:r>
      <w:proofErr w:type="spellStart"/>
      <w:r w:rsidRPr="005C7624">
        <w:rPr>
          <w:rFonts w:cstheme="minorHAnsi"/>
          <w:i/>
          <w:iCs/>
          <w:sz w:val="24"/>
          <w:szCs w:val="24"/>
        </w:rPr>
        <w:t>Seatrade</w:t>
      </w:r>
      <w:proofErr w:type="spellEnd"/>
      <w:r w:rsidRPr="005C7624">
        <w:rPr>
          <w:rFonts w:cstheme="minorHAnsi"/>
          <w:i/>
          <w:iCs/>
          <w:sz w:val="24"/>
          <w:szCs w:val="24"/>
        </w:rPr>
        <w:t xml:space="preserve"> Cruise News</w:t>
      </w:r>
      <w:r w:rsidRPr="005C7624">
        <w:rPr>
          <w:rFonts w:cstheme="minorHAnsi"/>
          <w:sz w:val="24"/>
          <w:szCs w:val="24"/>
        </w:rPr>
        <w:t xml:space="preserve">, </w:t>
      </w:r>
    </w:p>
    <w:p w14:paraId="22ACAB38" w14:textId="17BEEF29" w:rsidR="00073091" w:rsidRPr="005C7624" w:rsidRDefault="00073091" w:rsidP="001F5F43">
      <w:pPr>
        <w:pStyle w:val="NoSpacing"/>
        <w:spacing w:after="120"/>
        <w:jc w:val="both"/>
        <w:rPr>
          <w:rFonts w:cstheme="minorHAnsi"/>
          <w:sz w:val="24"/>
          <w:szCs w:val="24"/>
        </w:rPr>
      </w:pPr>
      <w:r w:rsidRPr="005C7624">
        <w:rPr>
          <w:rFonts w:cstheme="minorHAnsi"/>
          <w:sz w:val="24"/>
          <w:szCs w:val="24"/>
        </w:rPr>
        <w:t xml:space="preserve">7 June 2017, available at </w:t>
      </w:r>
      <w:hyperlink r:id="rId26" w:history="1">
        <w:r w:rsidRPr="005C7624">
          <w:rPr>
            <w:rStyle w:val="Hyperlink"/>
            <w:rFonts w:cstheme="minorHAnsi"/>
            <w:sz w:val="24"/>
            <w:szCs w:val="24"/>
          </w:rPr>
          <w:t>https://www.seatrade-cruise.com/news-headlines/liverpools-cruise-terminal-celebrating-10th-anniversary</w:t>
        </w:r>
      </w:hyperlink>
    </w:p>
    <w:p w14:paraId="335C6BBD" w14:textId="5305EAE3" w:rsidR="0021704B" w:rsidRPr="005C7624" w:rsidRDefault="0021704B" w:rsidP="001F5F43">
      <w:pPr>
        <w:spacing w:before="100" w:beforeAutospacing="1" w:after="120"/>
        <w:jc w:val="both"/>
        <w:rPr>
          <w:rFonts w:asciiTheme="minorHAnsi" w:hAnsiTheme="minorHAnsi" w:cstheme="minorHAnsi"/>
        </w:rPr>
      </w:pPr>
      <w:r w:rsidRPr="005C7624">
        <w:rPr>
          <w:rFonts w:asciiTheme="minorHAnsi" w:hAnsiTheme="minorHAnsi" w:cstheme="minorHAnsi"/>
        </w:rPr>
        <w:t xml:space="preserve">Brown, S (1991) Retail location: the post hierarchical challenge, </w:t>
      </w:r>
      <w:r w:rsidRPr="005C7624">
        <w:rPr>
          <w:rFonts w:asciiTheme="minorHAnsi" w:hAnsiTheme="minorHAnsi" w:cstheme="minorHAnsi"/>
          <w:i/>
          <w:iCs/>
        </w:rPr>
        <w:t xml:space="preserve">International Review of Retail, Distribution and Consumer Research. </w:t>
      </w:r>
      <w:r w:rsidRPr="005C7624">
        <w:rPr>
          <w:rFonts w:asciiTheme="minorHAnsi" w:hAnsiTheme="minorHAnsi" w:cstheme="minorHAnsi"/>
          <w:b/>
          <w:bCs/>
        </w:rPr>
        <w:t>1</w:t>
      </w:r>
      <w:r w:rsidRPr="005C7624">
        <w:rPr>
          <w:rFonts w:asciiTheme="minorHAnsi" w:hAnsiTheme="minorHAnsi" w:cstheme="minorHAnsi"/>
        </w:rPr>
        <w:t>: 367–381.</w:t>
      </w:r>
    </w:p>
    <w:p w14:paraId="40080845" w14:textId="077E91DD" w:rsidR="00AF1D14" w:rsidRPr="005C7624" w:rsidRDefault="00AD6CEE" w:rsidP="001F5F43">
      <w:pPr>
        <w:pStyle w:val="NoSpacing"/>
        <w:spacing w:after="120"/>
        <w:jc w:val="both"/>
        <w:rPr>
          <w:rFonts w:cstheme="minorHAnsi"/>
          <w:sz w:val="24"/>
          <w:szCs w:val="24"/>
        </w:rPr>
      </w:pPr>
      <w:r w:rsidRPr="005C7624">
        <w:rPr>
          <w:rFonts w:cstheme="minorHAnsi"/>
          <w:sz w:val="24"/>
          <w:szCs w:val="24"/>
        </w:rPr>
        <w:t>Champion, A G, Green, A E, Owen, D W</w:t>
      </w:r>
      <w:r w:rsidR="00F54809" w:rsidRPr="005C7624">
        <w:rPr>
          <w:rFonts w:cstheme="minorHAnsi"/>
          <w:sz w:val="24"/>
          <w:szCs w:val="24"/>
        </w:rPr>
        <w:t xml:space="preserve">, </w:t>
      </w:r>
      <w:proofErr w:type="spellStart"/>
      <w:r w:rsidR="00F54809" w:rsidRPr="005C7624">
        <w:rPr>
          <w:rFonts w:cstheme="minorHAnsi"/>
          <w:sz w:val="24"/>
          <w:szCs w:val="24"/>
        </w:rPr>
        <w:t>Ellin</w:t>
      </w:r>
      <w:proofErr w:type="spellEnd"/>
      <w:r w:rsidR="00F54809" w:rsidRPr="005C7624">
        <w:rPr>
          <w:rFonts w:cstheme="minorHAnsi"/>
          <w:sz w:val="24"/>
          <w:szCs w:val="24"/>
        </w:rPr>
        <w:t>, D J and Coombes,</w:t>
      </w:r>
      <w:r w:rsidRPr="005C7624">
        <w:rPr>
          <w:rFonts w:cstheme="minorHAnsi"/>
          <w:sz w:val="24"/>
          <w:szCs w:val="24"/>
        </w:rPr>
        <w:t xml:space="preserve"> </w:t>
      </w:r>
      <w:r w:rsidR="00F54809" w:rsidRPr="005C7624">
        <w:rPr>
          <w:rFonts w:cstheme="minorHAnsi"/>
          <w:sz w:val="24"/>
          <w:szCs w:val="24"/>
        </w:rPr>
        <w:t xml:space="preserve">M G </w:t>
      </w:r>
      <w:r w:rsidRPr="005C7624">
        <w:rPr>
          <w:rFonts w:cstheme="minorHAnsi"/>
          <w:sz w:val="24"/>
          <w:szCs w:val="24"/>
        </w:rPr>
        <w:t xml:space="preserve">(1987) </w:t>
      </w:r>
      <w:r w:rsidRPr="005C7624">
        <w:rPr>
          <w:rFonts w:cstheme="minorHAnsi"/>
          <w:i/>
          <w:iCs/>
          <w:sz w:val="24"/>
          <w:szCs w:val="24"/>
        </w:rPr>
        <w:t>Changing Places: Britain’s Demographic, Economic and Social Complexion</w:t>
      </w:r>
      <w:r w:rsidR="00893ABB" w:rsidRPr="005C7624">
        <w:rPr>
          <w:rFonts w:cstheme="minorHAnsi"/>
          <w:sz w:val="24"/>
          <w:szCs w:val="24"/>
        </w:rPr>
        <w:t xml:space="preserve">, </w:t>
      </w:r>
      <w:r w:rsidRPr="005C7624">
        <w:rPr>
          <w:rFonts w:cstheme="minorHAnsi"/>
          <w:sz w:val="24"/>
          <w:szCs w:val="24"/>
        </w:rPr>
        <w:t>Edward Arnold</w:t>
      </w:r>
      <w:r w:rsidR="00893ABB" w:rsidRPr="005C7624">
        <w:rPr>
          <w:rFonts w:cstheme="minorHAnsi"/>
          <w:sz w:val="24"/>
          <w:szCs w:val="24"/>
        </w:rPr>
        <w:t>, London</w:t>
      </w:r>
      <w:r w:rsidRPr="005C7624">
        <w:rPr>
          <w:rFonts w:cstheme="minorHAnsi"/>
          <w:sz w:val="24"/>
          <w:szCs w:val="24"/>
        </w:rPr>
        <w:t>.</w:t>
      </w:r>
    </w:p>
    <w:p w14:paraId="3FCF67FA" w14:textId="70E90A7D" w:rsidR="00AF1D14" w:rsidRPr="005C7624" w:rsidRDefault="00AF1D14" w:rsidP="001F5F43">
      <w:pPr>
        <w:pStyle w:val="NoSpacing"/>
        <w:spacing w:after="120"/>
        <w:jc w:val="both"/>
        <w:rPr>
          <w:rFonts w:cstheme="minorHAnsi"/>
          <w:sz w:val="24"/>
          <w:szCs w:val="24"/>
          <w:lang w:eastAsia="en-GB"/>
        </w:rPr>
      </w:pPr>
      <w:r w:rsidRPr="005C7624">
        <w:rPr>
          <w:rFonts w:cstheme="minorHAnsi"/>
          <w:sz w:val="24"/>
          <w:szCs w:val="24"/>
          <w:lang w:eastAsia="en-GB"/>
        </w:rPr>
        <w:t>The City of Edinburgh (2018)</w:t>
      </w:r>
      <w:r w:rsidRPr="005C7624">
        <w:rPr>
          <w:rFonts w:cstheme="minorHAnsi"/>
          <w:i/>
          <w:iCs/>
          <w:sz w:val="24"/>
          <w:szCs w:val="24"/>
          <w:lang w:eastAsia="en-GB"/>
        </w:rPr>
        <w:t xml:space="preserve"> Edinburgh in Numbers 2018</w:t>
      </w:r>
      <w:r w:rsidRPr="005C7624">
        <w:rPr>
          <w:rFonts w:cstheme="minorHAnsi"/>
          <w:sz w:val="24"/>
          <w:szCs w:val="24"/>
          <w:lang w:eastAsia="en-GB"/>
        </w:rPr>
        <w:t>, 12</w:t>
      </w:r>
      <w:r w:rsidRPr="005C7624">
        <w:rPr>
          <w:rFonts w:cstheme="minorHAnsi"/>
          <w:sz w:val="24"/>
          <w:szCs w:val="24"/>
          <w:vertAlign w:val="superscript"/>
          <w:lang w:eastAsia="en-GB"/>
        </w:rPr>
        <w:t>th</w:t>
      </w:r>
      <w:r w:rsidRPr="005C7624">
        <w:rPr>
          <w:rFonts w:cstheme="minorHAnsi"/>
          <w:sz w:val="24"/>
          <w:szCs w:val="24"/>
          <w:lang w:eastAsia="en-GB"/>
        </w:rPr>
        <w:t xml:space="preserve"> Edition, The City of Edinburgh.</w:t>
      </w:r>
    </w:p>
    <w:p w14:paraId="3FEF05C1" w14:textId="24EA50D8" w:rsidR="00AF1D14" w:rsidRPr="001369FA" w:rsidRDefault="00AF1D14" w:rsidP="001F5F43">
      <w:pPr>
        <w:pStyle w:val="NoSpacing"/>
        <w:spacing w:after="120"/>
        <w:jc w:val="both"/>
        <w:rPr>
          <w:rFonts w:cstheme="minorHAnsi"/>
          <w:sz w:val="24"/>
          <w:szCs w:val="24"/>
          <w:lang w:eastAsia="en-GB"/>
        </w:rPr>
      </w:pPr>
      <w:r w:rsidRPr="005C7624">
        <w:rPr>
          <w:rFonts w:cstheme="minorHAnsi"/>
          <w:sz w:val="24"/>
          <w:szCs w:val="24"/>
          <w:lang w:eastAsia="en-GB"/>
        </w:rPr>
        <w:t xml:space="preserve">The City of Edinburgh (2019) </w:t>
      </w:r>
      <w:r w:rsidRPr="005C7624">
        <w:rPr>
          <w:rFonts w:cstheme="minorHAnsi"/>
          <w:i/>
          <w:iCs/>
          <w:sz w:val="24"/>
          <w:szCs w:val="24"/>
          <w:lang w:eastAsia="en-GB"/>
        </w:rPr>
        <w:t>Edinburgh in Numbers 2019</w:t>
      </w:r>
      <w:r w:rsidRPr="005C7624">
        <w:rPr>
          <w:rFonts w:cstheme="minorHAnsi"/>
          <w:sz w:val="24"/>
          <w:szCs w:val="24"/>
          <w:lang w:eastAsia="en-GB"/>
        </w:rPr>
        <w:t>, 13</w:t>
      </w:r>
      <w:r w:rsidRPr="005C7624">
        <w:rPr>
          <w:rFonts w:cstheme="minorHAnsi"/>
          <w:sz w:val="24"/>
          <w:szCs w:val="24"/>
          <w:vertAlign w:val="superscript"/>
          <w:lang w:eastAsia="en-GB"/>
        </w:rPr>
        <w:t>th</w:t>
      </w:r>
      <w:r w:rsidRPr="005C7624">
        <w:rPr>
          <w:rFonts w:cstheme="minorHAnsi"/>
          <w:sz w:val="24"/>
          <w:szCs w:val="24"/>
          <w:lang w:eastAsia="en-GB"/>
        </w:rPr>
        <w:t xml:space="preserve"> Edition, The City of Edinburgh.</w:t>
      </w:r>
    </w:p>
    <w:p w14:paraId="5CED5ECB" w14:textId="5463C914" w:rsidR="003B705E" w:rsidRPr="001369FA" w:rsidRDefault="00E86EE1" w:rsidP="001F5F43">
      <w:pPr>
        <w:spacing w:after="120"/>
        <w:jc w:val="both"/>
        <w:rPr>
          <w:rFonts w:asciiTheme="minorHAnsi" w:eastAsiaTheme="minorHAnsi" w:hAnsiTheme="minorHAnsi" w:cstheme="minorHAnsi"/>
        </w:rPr>
      </w:pPr>
      <w:r w:rsidRPr="00E86EE1">
        <w:rPr>
          <w:rFonts w:asciiTheme="minorHAnsi" w:eastAsiaTheme="minorHAnsi" w:hAnsiTheme="minorHAnsi" w:cstheme="minorHAnsi"/>
        </w:rPr>
        <w:t>Colwell, P</w:t>
      </w:r>
      <w:r>
        <w:rPr>
          <w:rFonts w:asciiTheme="minorHAnsi" w:eastAsiaTheme="minorHAnsi" w:hAnsiTheme="minorHAnsi" w:cstheme="minorHAnsi"/>
        </w:rPr>
        <w:t xml:space="preserve"> </w:t>
      </w:r>
      <w:r w:rsidRPr="00E86EE1">
        <w:rPr>
          <w:rFonts w:asciiTheme="minorHAnsi" w:eastAsiaTheme="minorHAnsi" w:hAnsiTheme="minorHAnsi" w:cstheme="minorHAnsi"/>
        </w:rPr>
        <w:t xml:space="preserve">F and Jackson, C (2004) Modelling rental change across key retail investment markets in Britain – valuation measurement and considerations, </w:t>
      </w:r>
      <w:r w:rsidRPr="00E86EE1">
        <w:rPr>
          <w:rFonts w:asciiTheme="minorHAnsi" w:eastAsiaTheme="minorHAnsi" w:hAnsiTheme="minorHAnsi" w:cstheme="minorHAnsi"/>
          <w:i/>
          <w:iCs/>
        </w:rPr>
        <w:t>Journal of Property Investment &amp; Finance</w:t>
      </w:r>
      <w:r w:rsidRPr="00E86EE1">
        <w:rPr>
          <w:rFonts w:asciiTheme="minorHAnsi" w:eastAsiaTheme="minorHAnsi" w:hAnsiTheme="minorHAnsi" w:cstheme="minorHAnsi"/>
        </w:rPr>
        <w:t xml:space="preserve">, </w:t>
      </w:r>
      <w:r w:rsidRPr="00E86EE1">
        <w:rPr>
          <w:rFonts w:asciiTheme="minorHAnsi" w:eastAsiaTheme="minorHAnsi" w:hAnsiTheme="minorHAnsi" w:cstheme="minorHAnsi"/>
          <w:b/>
          <w:bCs/>
        </w:rPr>
        <w:t>22</w:t>
      </w:r>
      <w:r>
        <w:rPr>
          <w:rFonts w:asciiTheme="minorHAnsi" w:eastAsiaTheme="minorHAnsi" w:hAnsiTheme="minorHAnsi" w:cstheme="minorHAnsi"/>
        </w:rPr>
        <w:t>(</w:t>
      </w:r>
      <w:r w:rsidRPr="00E86EE1">
        <w:rPr>
          <w:rFonts w:asciiTheme="minorHAnsi" w:eastAsiaTheme="minorHAnsi" w:hAnsiTheme="minorHAnsi" w:cstheme="minorHAnsi"/>
        </w:rPr>
        <w:t>5</w:t>
      </w:r>
      <w:r>
        <w:rPr>
          <w:rFonts w:asciiTheme="minorHAnsi" w:eastAsiaTheme="minorHAnsi" w:hAnsiTheme="minorHAnsi" w:cstheme="minorHAnsi"/>
        </w:rPr>
        <w:t>)</w:t>
      </w:r>
      <w:r w:rsidRPr="00E86EE1">
        <w:rPr>
          <w:rFonts w:asciiTheme="minorHAnsi" w:eastAsiaTheme="minorHAnsi" w:hAnsiTheme="minorHAnsi" w:cstheme="minorHAnsi"/>
        </w:rPr>
        <w:t>, 354-385.</w:t>
      </w:r>
    </w:p>
    <w:p w14:paraId="358CB1F1" w14:textId="018ED1F5" w:rsidR="000A353F" w:rsidRPr="005C7624" w:rsidRDefault="000A353F" w:rsidP="001F5F43">
      <w:pPr>
        <w:pStyle w:val="NoSpacing"/>
        <w:spacing w:after="120"/>
        <w:jc w:val="both"/>
        <w:rPr>
          <w:rFonts w:cstheme="minorHAnsi"/>
          <w:sz w:val="24"/>
          <w:szCs w:val="24"/>
          <w:lang w:eastAsia="en-GB"/>
        </w:rPr>
      </w:pPr>
      <w:r w:rsidRPr="005C7624">
        <w:rPr>
          <w:rFonts w:cstheme="minorHAnsi"/>
          <w:sz w:val="24"/>
          <w:szCs w:val="24"/>
        </w:rPr>
        <w:t>Fotheringham, A S and Rogerson, P A (1993) GIS and spatial analytical problems,</w:t>
      </w:r>
      <w:r w:rsidRPr="005C7624">
        <w:rPr>
          <w:rFonts w:cstheme="minorHAnsi"/>
          <w:i/>
          <w:iCs/>
          <w:sz w:val="24"/>
          <w:szCs w:val="24"/>
        </w:rPr>
        <w:t xml:space="preserve"> International Journal Geographical Information Systems</w:t>
      </w:r>
      <w:r w:rsidRPr="005C7624">
        <w:rPr>
          <w:rFonts w:cstheme="minorHAnsi"/>
          <w:sz w:val="24"/>
          <w:szCs w:val="24"/>
        </w:rPr>
        <w:t>,</w:t>
      </w:r>
      <w:r w:rsidRPr="005C7624">
        <w:rPr>
          <w:rFonts w:cstheme="minorHAnsi"/>
          <w:b/>
          <w:bCs/>
          <w:sz w:val="24"/>
          <w:szCs w:val="24"/>
        </w:rPr>
        <w:t xml:space="preserve"> 7</w:t>
      </w:r>
      <w:r w:rsidRPr="005C7624">
        <w:rPr>
          <w:rFonts w:cstheme="minorHAnsi"/>
          <w:sz w:val="24"/>
          <w:szCs w:val="24"/>
        </w:rPr>
        <w:t>(1), 3-19.</w:t>
      </w:r>
    </w:p>
    <w:p w14:paraId="47AC5855" w14:textId="6B35103B" w:rsidR="00221E87" w:rsidRPr="005C7624" w:rsidRDefault="00AD6CEE" w:rsidP="001F5F43">
      <w:pPr>
        <w:pStyle w:val="NoSpacing"/>
        <w:spacing w:after="120"/>
        <w:jc w:val="both"/>
        <w:rPr>
          <w:rFonts w:cstheme="minorHAnsi"/>
          <w:sz w:val="24"/>
          <w:szCs w:val="24"/>
        </w:rPr>
      </w:pPr>
      <w:r w:rsidRPr="005C7624">
        <w:rPr>
          <w:rFonts w:cstheme="minorHAnsi"/>
          <w:sz w:val="24"/>
          <w:szCs w:val="24"/>
        </w:rPr>
        <w:t>Gibb, K, Kearns, A, Keoghan, M</w:t>
      </w:r>
      <w:r w:rsidR="00E15FB6" w:rsidRPr="005C7624">
        <w:rPr>
          <w:rFonts w:cstheme="minorHAnsi"/>
          <w:sz w:val="24"/>
          <w:szCs w:val="24"/>
        </w:rPr>
        <w:t xml:space="preserve">, Mackay, D and </w:t>
      </w:r>
      <w:proofErr w:type="spellStart"/>
      <w:r w:rsidR="00E15FB6" w:rsidRPr="005C7624">
        <w:rPr>
          <w:rFonts w:cstheme="minorHAnsi"/>
          <w:sz w:val="24"/>
          <w:szCs w:val="24"/>
        </w:rPr>
        <w:t>Turok</w:t>
      </w:r>
      <w:proofErr w:type="spellEnd"/>
      <w:r w:rsidR="00E15FB6" w:rsidRPr="005C7624">
        <w:rPr>
          <w:rFonts w:cstheme="minorHAnsi"/>
          <w:sz w:val="24"/>
          <w:szCs w:val="24"/>
        </w:rPr>
        <w:t>, I</w:t>
      </w:r>
      <w:r w:rsidRPr="005C7624">
        <w:rPr>
          <w:rFonts w:cstheme="minorHAnsi"/>
          <w:sz w:val="24"/>
          <w:szCs w:val="24"/>
        </w:rPr>
        <w:t xml:space="preserve"> (1998) </w:t>
      </w:r>
      <w:r w:rsidRPr="005C7624">
        <w:rPr>
          <w:rFonts w:cstheme="minorHAnsi"/>
          <w:i/>
          <w:iCs/>
          <w:sz w:val="24"/>
          <w:szCs w:val="24"/>
        </w:rPr>
        <w:t>Revising the Scottish Area Deprivation Index</w:t>
      </w:r>
      <w:r w:rsidRPr="005C7624">
        <w:rPr>
          <w:rFonts w:cstheme="minorHAnsi"/>
          <w:sz w:val="24"/>
          <w:szCs w:val="24"/>
        </w:rPr>
        <w:t>. Report to The Scottish Office, Final.</w:t>
      </w:r>
    </w:p>
    <w:p w14:paraId="3E02B7DD" w14:textId="6DBCA982" w:rsidR="009D7DCC" w:rsidRPr="005C7624" w:rsidRDefault="00221E87" w:rsidP="001F5F43">
      <w:pPr>
        <w:pStyle w:val="NoSpacing"/>
        <w:spacing w:after="120"/>
        <w:jc w:val="both"/>
        <w:rPr>
          <w:rFonts w:cstheme="minorHAnsi"/>
          <w:bCs/>
          <w:sz w:val="24"/>
          <w:szCs w:val="24"/>
        </w:rPr>
      </w:pPr>
      <w:r w:rsidRPr="005C7624">
        <w:rPr>
          <w:rFonts w:cstheme="minorHAnsi"/>
          <w:bCs/>
          <w:sz w:val="24"/>
          <w:szCs w:val="24"/>
        </w:rPr>
        <w:t xml:space="preserve">Guy, C M (1998) Classification of retail stores and shopping centres: some methodological issues, </w:t>
      </w:r>
      <w:proofErr w:type="spellStart"/>
      <w:r w:rsidRPr="005C7624">
        <w:rPr>
          <w:rFonts w:cstheme="minorHAnsi"/>
          <w:bCs/>
          <w:sz w:val="24"/>
          <w:szCs w:val="24"/>
        </w:rPr>
        <w:t>Ge</w:t>
      </w:r>
      <w:r w:rsidR="0021704B" w:rsidRPr="005C7624">
        <w:rPr>
          <w:rFonts w:cstheme="minorHAnsi"/>
          <w:bCs/>
          <w:sz w:val="24"/>
          <w:szCs w:val="24"/>
        </w:rPr>
        <w:t>o</w:t>
      </w:r>
      <w:r w:rsidRPr="005C7624">
        <w:rPr>
          <w:rFonts w:cstheme="minorHAnsi"/>
          <w:bCs/>
          <w:sz w:val="24"/>
          <w:szCs w:val="24"/>
        </w:rPr>
        <w:t>Journal</w:t>
      </w:r>
      <w:proofErr w:type="spellEnd"/>
      <w:r w:rsidRPr="005C7624">
        <w:rPr>
          <w:rFonts w:cstheme="minorHAnsi"/>
          <w:bCs/>
          <w:sz w:val="24"/>
          <w:szCs w:val="24"/>
        </w:rPr>
        <w:t xml:space="preserve">, </w:t>
      </w:r>
      <w:r w:rsidRPr="005C7624">
        <w:rPr>
          <w:rFonts w:cstheme="minorHAnsi"/>
          <w:b/>
          <w:sz w:val="24"/>
          <w:szCs w:val="24"/>
        </w:rPr>
        <w:t>45</w:t>
      </w:r>
      <w:r w:rsidR="00BD023A" w:rsidRPr="005C7624">
        <w:rPr>
          <w:rFonts w:cstheme="minorHAnsi"/>
          <w:bCs/>
          <w:sz w:val="24"/>
          <w:szCs w:val="24"/>
        </w:rPr>
        <w:t>(4)</w:t>
      </w:r>
      <w:r w:rsidRPr="005C7624">
        <w:rPr>
          <w:rFonts w:cstheme="minorHAnsi"/>
          <w:bCs/>
          <w:sz w:val="24"/>
          <w:szCs w:val="24"/>
        </w:rPr>
        <w:t>, 255-264.</w:t>
      </w:r>
    </w:p>
    <w:p w14:paraId="7BA239F0" w14:textId="79BFC6A6" w:rsidR="00AD6CEE" w:rsidRPr="005C7624" w:rsidRDefault="00AD6CEE" w:rsidP="001F5F43">
      <w:pPr>
        <w:pStyle w:val="NoSpacing"/>
        <w:spacing w:after="120"/>
        <w:jc w:val="both"/>
        <w:rPr>
          <w:rFonts w:eastAsia="SimSun" w:cstheme="minorHAnsi"/>
          <w:sz w:val="24"/>
          <w:szCs w:val="24"/>
          <w:lang w:eastAsia="ar-SA"/>
        </w:rPr>
      </w:pPr>
      <w:r w:rsidRPr="005C7624">
        <w:rPr>
          <w:rFonts w:eastAsia="SimSun" w:cstheme="minorHAnsi"/>
          <w:sz w:val="24"/>
          <w:szCs w:val="24"/>
          <w:lang w:eastAsia="ar-SA"/>
        </w:rPr>
        <w:t xml:space="preserve">Harper Dennis Hobbs (2014) </w:t>
      </w:r>
      <w:r w:rsidRPr="005C7624">
        <w:rPr>
          <w:rFonts w:eastAsia="SimSun" w:cstheme="minorHAnsi"/>
          <w:i/>
          <w:sz w:val="24"/>
          <w:szCs w:val="24"/>
          <w:lang w:eastAsia="ar-SA"/>
        </w:rPr>
        <w:t>Retail Centre Reports</w:t>
      </w:r>
      <w:r w:rsidRPr="005C7624">
        <w:rPr>
          <w:rFonts w:eastAsia="SimSun" w:cstheme="minorHAnsi"/>
          <w:sz w:val="24"/>
          <w:szCs w:val="24"/>
          <w:lang w:eastAsia="ar-SA"/>
        </w:rPr>
        <w:t>, Harper Dennis Hobbs, London.</w:t>
      </w:r>
    </w:p>
    <w:p w14:paraId="043BA33F" w14:textId="4D34DA32" w:rsidR="00D55D2D" w:rsidRPr="005C7624" w:rsidRDefault="00AD6CEE" w:rsidP="001F5F43">
      <w:pPr>
        <w:pStyle w:val="NoSpacing"/>
        <w:spacing w:after="120"/>
        <w:jc w:val="both"/>
        <w:rPr>
          <w:rFonts w:eastAsia="SimSun" w:cstheme="minorHAnsi"/>
          <w:sz w:val="24"/>
          <w:szCs w:val="24"/>
          <w:lang w:eastAsia="ar-SA"/>
        </w:rPr>
      </w:pPr>
      <w:r w:rsidRPr="005C7624">
        <w:rPr>
          <w:rFonts w:eastAsia="SimSun" w:cstheme="minorHAnsi"/>
          <w:sz w:val="24"/>
          <w:szCs w:val="24"/>
          <w:lang w:eastAsia="ar-SA"/>
        </w:rPr>
        <w:t xml:space="preserve">Harper Dennis Hobbs (2016) </w:t>
      </w:r>
      <w:r w:rsidRPr="005C7624">
        <w:rPr>
          <w:rFonts w:eastAsia="SimSun" w:cstheme="minorHAnsi"/>
          <w:i/>
          <w:sz w:val="24"/>
          <w:szCs w:val="24"/>
          <w:lang w:eastAsia="ar-SA"/>
        </w:rPr>
        <w:t>Retail Centre Reports</w:t>
      </w:r>
      <w:r w:rsidRPr="005C7624">
        <w:rPr>
          <w:rFonts w:eastAsia="SimSun" w:cstheme="minorHAnsi"/>
          <w:sz w:val="24"/>
          <w:szCs w:val="24"/>
          <w:lang w:eastAsia="ar-SA"/>
        </w:rPr>
        <w:t>, Harper Dennis Hobbs, London.</w:t>
      </w:r>
    </w:p>
    <w:p w14:paraId="1B9C25C1" w14:textId="7FA38ECC" w:rsidR="00AD6CEE" w:rsidRPr="005C7624" w:rsidRDefault="00D55D2D" w:rsidP="001F5F43">
      <w:pPr>
        <w:pStyle w:val="NoSpacing"/>
        <w:spacing w:after="120"/>
        <w:jc w:val="both"/>
        <w:rPr>
          <w:rFonts w:eastAsia="SimSun" w:cstheme="minorHAnsi"/>
          <w:sz w:val="24"/>
          <w:szCs w:val="24"/>
          <w:lang w:eastAsia="ar-SA"/>
        </w:rPr>
      </w:pPr>
      <w:r w:rsidRPr="005C7624">
        <w:rPr>
          <w:rFonts w:eastAsia="SimSun" w:cstheme="minorHAnsi"/>
          <w:sz w:val="24"/>
          <w:szCs w:val="24"/>
          <w:lang w:eastAsia="ar-SA"/>
        </w:rPr>
        <w:t xml:space="preserve">Harper Dennis Hobbs (2019) </w:t>
      </w:r>
      <w:r w:rsidRPr="005C7624">
        <w:rPr>
          <w:rFonts w:eastAsia="SimSun" w:cstheme="minorHAnsi"/>
          <w:i/>
          <w:sz w:val="24"/>
          <w:szCs w:val="24"/>
          <w:lang w:eastAsia="ar-SA"/>
        </w:rPr>
        <w:t>Retail Centre Reports</w:t>
      </w:r>
      <w:r w:rsidRPr="005C7624">
        <w:rPr>
          <w:rFonts w:eastAsia="SimSun" w:cstheme="minorHAnsi"/>
          <w:sz w:val="24"/>
          <w:szCs w:val="24"/>
          <w:lang w:eastAsia="ar-SA"/>
        </w:rPr>
        <w:t>, Harper Dennis Hobbs, London.</w:t>
      </w:r>
    </w:p>
    <w:p w14:paraId="54BB4ABC" w14:textId="440D5F81" w:rsidR="00352019" w:rsidRPr="005C7624" w:rsidRDefault="006137D8" w:rsidP="001F5F43">
      <w:pPr>
        <w:pStyle w:val="NoSpacing"/>
        <w:spacing w:after="120"/>
        <w:jc w:val="both"/>
        <w:rPr>
          <w:rFonts w:cstheme="minorHAnsi"/>
          <w:sz w:val="24"/>
          <w:szCs w:val="24"/>
        </w:rPr>
      </w:pPr>
      <w:r w:rsidRPr="005C7624">
        <w:rPr>
          <w:rFonts w:cstheme="minorHAnsi"/>
          <w:sz w:val="24"/>
          <w:szCs w:val="24"/>
        </w:rPr>
        <w:t>Higher Education Statistic</w:t>
      </w:r>
      <w:r w:rsidR="00EB24B1" w:rsidRPr="005C7624">
        <w:rPr>
          <w:rFonts w:cstheme="minorHAnsi"/>
          <w:sz w:val="24"/>
          <w:szCs w:val="24"/>
        </w:rPr>
        <w:t xml:space="preserve">s </w:t>
      </w:r>
      <w:r w:rsidRPr="005C7624">
        <w:rPr>
          <w:rFonts w:cstheme="minorHAnsi"/>
          <w:sz w:val="24"/>
          <w:szCs w:val="24"/>
        </w:rPr>
        <w:t xml:space="preserve">Agency (2020) </w:t>
      </w:r>
      <w:r w:rsidRPr="005C7624">
        <w:rPr>
          <w:rFonts w:cstheme="minorHAnsi"/>
          <w:i/>
          <w:iCs/>
          <w:sz w:val="24"/>
          <w:szCs w:val="24"/>
        </w:rPr>
        <w:t>Where do HE students study?,</w:t>
      </w:r>
      <w:r w:rsidRPr="005C7624">
        <w:rPr>
          <w:rFonts w:cstheme="minorHAnsi"/>
          <w:sz w:val="24"/>
          <w:szCs w:val="24"/>
        </w:rPr>
        <w:t xml:space="preserve"> HESA, available at https://www.hesa.ac.uk/data-and-analysis/students/where-study</w:t>
      </w:r>
      <w:r w:rsidR="003B59B0" w:rsidRPr="005C7624">
        <w:rPr>
          <w:rFonts w:cstheme="minorHAnsi"/>
          <w:sz w:val="24"/>
          <w:szCs w:val="24"/>
        </w:rPr>
        <w:t>.</w:t>
      </w:r>
    </w:p>
    <w:p w14:paraId="12025E99" w14:textId="5A067041" w:rsidR="00352019" w:rsidRPr="005C7624" w:rsidRDefault="00352019" w:rsidP="001F5F43">
      <w:pPr>
        <w:pStyle w:val="NoSpacing"/>
        <w:spacing w:after="120"/>
        <w:jc w:val="both"/>
        <w:rPr>
          <w:rFonts w:cstheme="minorHAnsi"/>
          <w:sz w:val="24"/>
          <w:szCs w:val="24"/>
        </w:rPr>
      </w:pPr>
      <w:r w:rsidRPr="005C7624">
        <w:rPr>
          <w:rFonts w:cstheme="minorHAnsi"/>
          <w:sz w:val="24"/>
          <w:szCs w:val="24"/>
        </w:rPr>
        <w:t>Hillier</w:t>
      </w:r>
      <w:r w:rsidRPr="005C7624">
        <w:rPr>
          <w:rFonts w:cstheme="minorHAnsi"/>
          <w:caps/>
          <w:sz w:val="24"/>
          <w:szCs w:val="24"/>
        </w:rPr>
        <w:t xml:space="preserve"> P</w:t>
      </w:r>
      <w:r w:rsidRPr="005C7624">
        <w:rPr>
          <w:rFonts w:cstheme="minorHAnsi"/>
          <w:sz w:val="24"/>
          <w:szCs w:val="24"/>
        </w:rPr>
        <w:t xml:space="preserve">arker (1996) </w:t>
      </w:r>
      <w:r w:rsidRPr="005C7624">
        <w:rPr>
          <w:rFonts w:cstheme="minorHAnsi"/>
          <w:i/>
          <w:sz w:val="24"/>
          <w:szCs w:val="24"/>
        </w:rPr>
        <w:t>Shopping Centres of Great Britain: A National Survey of Retailer Representation by Trading Location</w:t>
      </w:r>
      <w:r w:rsidRPr="005C7624">
        <w:rPr>
          <w:rFonts w:cstheme="minorHAnsi"/>
          <w:sz w:val="24"/>
          <w:szCs w:val="24"/>
        </w:rPr>
        <w:t>. Hillier Parker May and Rowden.</w:t>
      </w:r>
    </w:p>
    <w:p w14:paraId="46FD128D" w14:textId="5D5326DA" w:rsidR="00352019" w:rsidRPr="005C7624" w:rsidRDefault="00352019" w:rsidP="001F5F43">
      <w:pPr>
        <w:pStyle w:val="NoSpacing"/>
        <w:spacing w:after="120"/>
        <w:jc w:val="both"/>
        <w:rPr>
          <w:rFonts w:cstheme="minorHAnsi"/>
          <w:sz w:val="24"/>
          <w:szCs w:val="24"/>
        </w:rPr>
      </w:pPr>
      <w:proofErr w:type="spellStart"/>
      <w:r w:rsidRPr="005C7624">
        <w:rPr>
          <w:rFonts w:cstheme="minorHAnsi"/>
          <w:sz w:val="24"/>
          <w:szCs w:val="24"/>
        </w:rPr>
        <w:t>Hoesli</w:t>
      </w:r>
      <w:proofErr w:type="spellEnd"/>
      <w:r w:rsidRPr="005C7624">
        <w:rPr>
          <w:rFonts w:cstheme="minorHAnsi"/>
          <w:sz w:val="24"/>
          <w:szCs w:val="24"/>
        </w:rPr>
        <w:t xml:space="preserve">, M, </w:t>
      </w:r>
      <w:proofErr w:type="spellStart"/>
      <w:r w:rsidRPr="005C7624">
        <w:rPr>
          <w:rFonts w:cstheme="minorHAnsi"/>
          <w:sz w:val="24"/>
          <w:szCs w:val="24"/>
        </w:rPr>
        <w:t>Lizieri</w:t>
      </w:r>
      <w:proofErr w:type="spellEnd"/>
      <w:r w:rsidRPr="005C7624">
        <w:rPr>
          <w:rFonts w:cstheme="minorHAnsi"/>
          <w:sz w:val="24"/>
          <w:szCs w:val="24"/>
        </w:rPr>
        <w:t xml:space="preserve">, C and Macgregor, B (1997) The spatial dimensions of the investment performance of UK commercial property, </w:t>
      </w:r>
      <w:r w:rsidRPr="005C7624">
        <w:rPr>
          <w:rFonts w:cstheme="minorHAnsi"/>
          <w:i/>
          <w:sz w:val="24"/>
          <w:szCs w:val="24"/>
        </w:rPr>
        <w:t>Urban Studies</w:t>
      </w:r>
      <w:r w:rsidRPr="005C7624">
        <w:rPr>
          <w:rFonts w:cstheme="minorHAnsi"/>
          <w:sz w:val="24"/>
          <w:szCs w:val="24"/>
        </w:rPr>
        <w:t xml:space="preserve">, </w:t>
      </w:r>
      <w:r w:rsidRPr="005C7624">
        <w:rPr>
          <w:rFonts w:cstheme="minorHAnsi"/>
          <w:b/>
          <w:bCs/>
          <w:sz w:val="24"/>
          <w:szCs w:val="24"/>
        </w:rPr>
        <w:t>34</w:t>
      </w:r>
      <w:r w:rsidRPr="005C7624">
        <w:rPr>
          <w:rFonts w:cstheme="minorHAnsi"/>
          <w:sz w:val="24"/>
          <w:szCs w:val="24"/>
        </w:rPr>
        <w:t>, 1475–1494.</w:t>
      </w:r>
    </w:p>
    <w:p w14:paraId="610158B6" w14:textId="5015B54C" w:rsidR="00352019" w:rsidRPr="005C7624" w:rsidRDefault="00352019" w:rsidP="001F5F43">
      <w:pPr>
        <w:pStyle w:val="NoSpacing"/>
        <w:spacing w:after="120"/>
        <w:jc w:val="both"/>
        <w:rPr>
          <w:rFonts w:cstheme="minorHAnsi"/>
          <w:sz w:val="24"/>
          <w:szCs w:val="24"/>
        </w:rPr>
      </w:pPr>
      <w:proofErr w:type="spellStart"/>
      <w:r w:rsidRPr="005C7624">
        <w:rPr>
          <w:rFonts w:cstheme="minorHAnsi"/>
          <w:sz w:val="24"/>
          <w:szCs w:val="24"/>
        </w:rPr>
        <w:t>Hoesli</w:t>
      </w:r>
      <w:proofErr w:type="spellEnd"/>
      <w:r w:rsidRPr="005C7624">
        <w:rPr>
          <w:rFonts w:cstheme="minorHAnsi"/>
          <w:sz w:val="24"/>
          <w:szCs w:val="24"/>
        </w:rPr>
        <w:t xml:space="preserve">, M. and Macgregor, B D (1995) The Classification of local property markets in the UK using cluster analysis, in: </w:t>
      </w:r>
      <w:r w:rsidRPr="005C7624">
        <w:rPr>
          <w:rFonts w:cstheme="minorHAnsi"/>
          <w:i/>
          <w:sz w:val="24"/>
          <w:szCs w:val="24"/>
        </w:rPr>
        <w:t>The Cutting Edge: Proceedings of the RICS Property Research Conference 1995</w:t>
      </w:r>
      <w:r w:rsidRPr="005C7624">
        <w:rPr>
          <w:rFonts w:cstheme="minorHAnsi"/>
          <w:sz w:val="24"/>
          <w:szCs w:val="24"/>
        </w:rPr>
        <w:t>, vol. 1, pp. 185–204. London: RICS.</w:t>
      </w:r>
    </w:p>
    <w:p w14:paraId="08A2E6FA" w14:textId="6BD911DA" w:rsidR="00AF0AB3" w:rsidRPr="005C7624" w:rsidRDefault="00352019" w:rsidP="001F5F43">
      <w:pPr>
        <w:pStyle w:val="NoSpacing"/>
        <w:spacing w:after="120"/>
        <w:jc w:val="both"/>
        <w:rPr>
          <w:rFonts w:cstheme="minorHAnsi"/>
          <w:sz w:val="24"/>
          <w:szCs w:val="24"/>
        </w:rPr>
      </w:pPr>
      <w:r w:rsidRPr="005C7624">
        <w:rPr>
          <w:rFonts w:cstheme="minorHAnsi"/>
          <w:sz w:val="24"/>
          <w:szCs w:val="24"/>
        </w:rPr>
        <w:lastRenderedPageBreak/>
        <w:t xml:space="preserve">Invest Hull (2020) </w:t>
      </w:r>
      <w:r w:rsidRPr="005C7624">
        <w:rPr>
          <w:rFonts w:cstheme="minorHAnsi"/>
          <w:i/>
          <w:iCs/>
          <w:sz w:val="24"/>
          <w:szCs w:val="24"/>
        </w:rPr>
        <w:t>Leisure, Tourism and Retail,</w:t>
      </w:r>
      <w:r w:rsidRPr="005C7624">
        <w:rPr>
          <w:rFonts w:cstheme="minorHAnsi"/>
          <w:sz w:val="24"/>
          <w:szCs w:val="24"/>
        </w:rPr>
        <w:t xml:space="preserve"> Invest Hull, available at </w:t>
      </w:r>
      <w:hyperlink r:id="rId27" w:history="1">
        <w:r w:rsidRPr="005C7624">
          <w:rPr>
            <w:rStyle w:val="Hyperlink"/>
            <w:rFonts w:cstheme="minorHAnsi"/>
            <w:sz w:val="24"/>
            <w:szCs w:val="24"/>
          </w:rPr>
          <w:t>https://investhull.co.uk/sectors/leisure-tourism-retail</w:t>
        </w:r>
      </w:hyperlink>
      <w:r w:rsidRPr="005C7624">
        <w:rPr>
          <w:rFonts w:cstheme="minorHAnsi"/>
          <w:sz w:val="24"/>
          <w:szCs w:val="24"/>
        </w:rPr>
        <w:t xml:space="preserve">. </w:t>
      </w:r>
    </w:p>
    <w:p w14:paraId="7B1F7536" w14:textId="5060A16B" w:rsidR="00400C41" w:rsidRPr="005C7624" w:rsidRDefault="00400C41" w:rsidP="001F5F43">
      <w:pPr>
        <w:pStyle w:val="NoSpacing"/>
        <w:spacing w:after="120"/>
        <w:jc w:val="both"/>
        <w:rPr>
          <w:rFonts w:cstheme="minorHAnsi"/>
          <w:sz w:val="24"/>
          <w:szCs w:val="24"/>
          <w:lang w:eastAsia="en-GB"/>
        </w:rPr>
      </w:pPr>
      <w:r w:rsidRPr="005C7624">
        <w:rPr>
          <w:rFonts w:cstheme="minorHAnsi"/>
          <w:sz w:val="24"/>
          <w:szCs w:val="24"/>
          <w:lang w:eastAsia="en-GB"/>
        </w:rPr>
        <w:t xml:space="preserve">Jackson, A (2018) Liverpool Population Doubles After 10 Years On The Up, RW Invest, 25 May 2018, accessible at </w:t>
      </w:r>
      <w:hyperlink r:id="rId28" w:history="1">
        <w:r w:rsidRPr="005C7624">
          <w:rPr>
            <w:rStyle w:val="Hyperlink"/>
            <w:rFonts w:cstheme="minorHAnsi"/>
            <w:sz w:val="24"/>
            <w:szCs w:val="24"/>
            <w:lang w:eastAsia="en-GB"/>
          </w:rPr>
          <w:t>https://www.rw-invest.com/liverpool/liverpool-population-doubles-after-10-years-on-the-up/</w:t>
        </w:r>
      </w:hyperlink>
    </w:p>
    <w:p w14:paraId="15646039" w14:textId="261D67E1" w:rsidR="00AD6CEE" w:rsidRPr="005C7624" w:rsidRDefault="00AD6CEE" w:rsidP="001F5F43">
      <w:pPr>
        <w:pStyle w:val="NoSpacing"/>
        <w:spacing w:after="120"/>
        <w:jc w:val="both"/>
        <w:rPr>
          <w:rFonts w:cstheme="minorHAnsi"/>
          <w:sz w:val="24"/>
          <w:szCs w:val="24"/>
        </w:rPr>
      </w:pPr>
      <w:r w:rsidRPr="005C7624">
        <w:rPr>
          <w:rFonts w:cstheme="minorHAnsi"/>
          <w:sz w:val="24"/>
          <w:szCs w:val="24"/>
        </w:rPr>
        <w:t xml:space="preserve">Jackson, C (2001) A Model of Spatial Patterns across Local Retail Property Markets in Great Britain, </w:t>
      </w:r>
      <w:r w:rsidRPr="005C7624">
        <w:rPr>
          <w:rFonts w:cstheme="minorHAnsi"/>
          <w:i/>
          <w:iCs/>
          <w:sz w:val="24"/>
          <w:szCs w:val="24"/>
        </w:rPr>
        <w:t>Urban Studies</w:t>
      </w:r>
      <w:r w:rsidRPr="005C7624">
        <w:rPr>
          <w:rFonts w:cstheme="minorHAnsi"/>
          <w:sz w:val="24"/>
          <w:szCs w:val="24"/>
        </w:rPr>
        <w:t xml:space="preserve">, </w:t>
      </w:r>
      <w:r w:rsidR="00182121" w:rsidRPr="005C7624">
        <w:rPr>
          <w:rFonts w:cstheme="minorHAnsi"/>
          <w:b/>
          <w:bCs/>
          <w:sz w:val="24"/>
          <w:szCs w:val="24"/>
        </w:rPr>
        <w:t>38</w:t>
      </w:r>
      <w:r w:rsidR="00182121" w:rsidRPr="005C7624">
        <w:rPr>
          <w:rFonts w:cstheme="minorHAnsi"/>
          <w:sz w:val="24"/>
          <w:szCs w:val="24"/>
        </w:rPr>
        <w:t>(</w:t>
      </w:r>
      <w:r w:rsidRPr="005C7624">
        <w:rPr>
          <w:rFonts w:cstheme="minorHAnsi"/>
          <w:sz w:val="24"/>
          <w:szCs w:val="24"/>
        </w:rPr>
        <w:t>9</w:t>
      </w:r>
      <w:r w:rsidR="00182121" w:rsidRPr="005C7624">
        <w:rPr>
          <w:rFonts w:cstheme="minorHAnsi"/>
          <w:sz w:val="24"/>
          <w:szCs w:val="24"/>
        </w:rPr>
        <w:t xml:space="preserve">), </w:t>
      </w:r>
      <w:r w:rsidRPr="005C7624">
        <w:rPr>
          <w:rFonts w:cstheme="minorHAnsi"/>
          <w:sz w:val="24"/>
          <w:szCs w:val="24"/>
        </w:rPr>
        <w:t>1445–1471.</w:t>
      </w:r>
    </w:p>
    <w:p w14:paraId="3FC66748" w14:textId="5126ECB1" w:rsidR="00FD7C01" w:rsidRPr="005C7624" w:rsidRDefault="00AD6CEE" w:rsidP="001F5F43">
      <w:pPr>
        <w:pStyle w:val="NoSpacing"/>
        <w:spacing w:after="120"/>
        <w:jc w:val="both"/>
        <w:rPr>
          <w:rFonts w:cstheme="minorHAnsi"/>
          <w:sz w:val="24"/>
          <w:szCs w:val="24"/>
        </w:rPr>
      </w:pPr>
      <w:r w:rsidRPr="005C7624">
        <w:rPr>
          <w:rFonts w:cstheme="minorHAnsi"/>
          <w:sz w:val="24"/>
          <w:szCs w:val="24"/>
        </w:rPr>
        <w:t xml:space="preserve">Jackson, C (2002) Classifying Local Retail Property Markets on the Basis of Rental Growth Rates, </w:t>
      </w:r>
      <w:r w:rsidRPr="005C7624">
        <w:rPr>
          <w:rFonts w:cstheme="minorHAnsi"/>
          <w:i/>
          <w:iCs/>
          <w:sz w:val="24"/>
          <w:szCs w:val="24"/>
        </w:rPr>
        <w:t>Urban Studies</w:t>
      </w:r>
      <w:r w:rsidRPr="005C7624">
        <w:rPr>
          <w:rFonts w:cstheme="minorHAnsi"/>
          <w:sz w:val="24"/>
          <w:szCs w:val="24"/>
        </w:rPr>
        <w:t xml:space="preserve">, </w:t>
      </w:r>
      <w:r w:rsidRPr="005C7624">
        <w:rPr>
          <w:rFonts w:cstheme="minorHAnsi"/>
          <w:b/>
          <w:bCs/>
          <w:sz w:val="24"/>
          <w:szCs w:val="24"/>
        </w:rPr>
        <w:t>39</w:t>
      </w:r>
      <w:r w:rsidR="00182121" w:rsidRPr="005C7624">
        <w:rPr>
          <w:rFonts w:cstheme="minorHAnsi"/>
          <w:sz w:val="24"/>
          <w:szCs w:val="24"/>
        </w:rPr>
        <w:t>(</w:t>
      </w:r>
      <w:r w:rsidRPr="005C7624">
        <w:rPr>
          <w:rFonts w:cstheme="minorHAnsi"/>
          <w:sz w:val="24"/>
          <w:szCs w:val="24"/>
        </w:rPr>
        <w:t>8</w:t>
      </w:r>
      <w:r w:rsidR="00182121" w:rsidRPr="005C7624">
        <w:rPr>
          <w:rFonts w:cstheme="minorHAnsi"/>
          <w:sz w:val="24"/>
          <w:szCs w:val="24"/>
        </w:rPr>
        <w:t>)</w:t>
      </w:r>
      <w:r w:rsidRPr="005C7624">
        <w:rPr>
          <w:rFonts w:cstheme="minorHAnsi"/>
          <w:sz w:val="24"/>
          <w:szCs w:val="24"/>
        </w:rPr>
        <w:t>, 1417–1438.</w:t>
      </w:r>
    </w:p>
    <w:p w14:paraId="31F2191E" w14:textId="3343F026" w:rsidR="00AD6CEE" w:rsidRPr="005C7624" w:rsidRDefault="00AD6CEE" w:rsidP="001F5F43">
      <w:pPr>
        <w:pStyle w:val="NoSpacing"/>
        <w:spacing w:after="120"/>
        <w:jc w:val="both"/>
        <w:rPr>
          <w:rFonts w:cstheme="minorHAnsi"/>
          <w:sz w:val="24"/>
          <w:szCs w:val="24"/>
        </w:rPr>
      </w:pPr>
      <w:r w:rsidRPr="005C7624">
        <w:rPr>
          <w:rFonts w:cstheme="minorHAnsi"/>
          <w:sz w:val="24"/>
          <w:szCs w:val="24"/>
        </w:rPr>
        <w:t xml:space="preserve">Jackson, C and Watkins, C (2005) Planning Policy and Retail Property Markets: Measuring the Dimensions of Planning Intervention, </w:t>
      </w:r>
      <w:r w:rsidRPr="005C7624">
        <w:rPr>
          <w:rFonts w:cstheme="minorHAnsi"/>
          <w:i/>
          <w:iCs/>
          <w:sz w:val="24"/>
          <w:szCs w:val="24"/>
        </w:rPr>
        <w:t>Urban Studies</w:t>
      </w:r>
      <w:r w:rsidRPr="005C7624">
        <w:rPr>
          <w:rFonts w:cstheme="minorHAnsi"/>
          <w:sz w:val="24"/>
          <w:szCs w:val="24"/>
        </w:rPr>
        <w:t xml:space="preserve">, </w:t>
      </w:r>
      <w:r w:rsidRPr="005C7624">
        <w:rPr>
          <w:rFonts w:cstheme="minorHAnsi"/>
          <w:b/>
          <w:bCs/>
          <w:sz w:val="24"/>
          <w:szCs w:val="24"/>
        </w:rPr>
        <w:t>42</w:t>
      </w:r>
      <w:r w:rsidR="00182121" w:rsidRPr="005C7624">
        <w:rPr>
          <w:rFonts w:cstheme="minorHAnsi"/>
          <w:sz w:val="24"/>
          <w:szCs w:val="24"/>
        </w:rPr>
        <w:t>(</w:t>
      </w:r>
      <w:r w:rsidRPr="005C7624">
        <w:rPr>
          <w:rFonts w:cstheme="minorHAnsi"/>
          <w:sz w:val="24"/>
          <w:szCs w:val="24"/>
        </w:rPr>
        <w:t>8</w:t>
      </w:r>
      <w:r w:rsidR="00182121" w:rsidRPr="005C7624">
        <w:rPr>
          <w:rFonts w:cstheme="minorHAnsi"/>
          <w:sz w:val="24"/>
          <w:szCs w:val="24"/>
        </w:rPr>
        <w:t>)</w:t>
      </w:r>
      <w:r w:rsidRPr="005C7624">
        <w:rPr>
          <w:rFonts w:cstheme="minorHAnsi"/>
          <w:sz w:val="24"/>
          <w:szCs w:val="24"/>
        </w:rPr>
        <w:t>, 1453–1469.</w:t>
      </w:r>
    </w:p>
    <w:p w14:paraId="7A2D06BD" w14:textId="58EDBBA1" w:rsidR="006E77BD" w:rsidRPr="005C7624" w:rsidRDefault="00AF0AB3" w:rsidP="001F5F43">
      <w:pPr>
        <w:pStyle w:val="NoSpacing"/>
        <w:spacing w:after="120"/>
        <w:jc w:val="both"/>
        <w:rPr>
          <w:rFonts w:cstheme="minorHAnsi"/>
          <w:sz w:val="24"/>
          <w:szCs w:val="24"/>
        </w:rPr>
      </w:pPr>
      <w:r w:rsidRPr="005C7624">
        <w:rPr>
          <w:rFonts w:cstheme="minorHAnsi"/>
          <w:sz w:val="24"/>
          <w:szCs w:val="24"/>
        </w:rPr>
        <w:t xml:space="preserve">Javelin Group (2017) </w:t>
      </w:r>
      <w:r w:rsidRPr="005C7624">
        <w:rPr>
          <w:rFonts w:cstheme="minorHAnsi"/>
          <w:i/>
          <w:sz w:val="24"/>
          <w:szCs w:val="24"/>
        </w:rPr>
        <w:t>VENUE</w:t>
      </w:r>
      <w:r w:rsidR="00F20951" w:rsidRPr="005C7624">
        <w:rPr>
          <w:rFonts w:cstheme="minorHAnsi"/>
          <w:i/>
          <w:sz w:val="24"/>
          <w:szCs w:val="24"/>
        </w:rPr>
        <w:t xml:space="preserve"> </w:t>
      </w:r>
      <w:r w:rsidRPr="005C7624">
        <w:rPr>
          <w:rFonts w:cstheme="minorHAnsi"/>
          <w:i/>
          <w:sz w:val="24"/>
          <w:szCs w:val="24"/>
        </w:rPr>
        <w:t>SCORE 201</w:t>
      </w:r>
      <w:r w:rsidR="00F20951" w:rsidRPr="005C7624">
        <w:rPr>
          <w:rFonts w:cstheme="minorHAnsi"/>
          <w:i/>
          <w:sz w:val="24"/>
          <w:szCs w:val="24"/>
        </w:rPr>
        <w:t>7. Shopping Venue Rankings</w:t>
      </w:r>
      <w:r w:rsidR="00F20951" w:rsidRPr="005C7624">
        <w:rPr>
          <w:rFonts w:cstheme="minorHAnsi"/>
          <w:sz w:val="24"/>
          <w:szCs w:val="24"/>
        </w:rPr>
        <w:t>, Javelin Group.</w:t>
      </w:r>
    </w:p>
    <w:p w14:paraId="2F147997" w14:textId="4471B306" w:rsidR="005C7624" w:rsidRPr="005C7624" w:rsidRDefault="006E77BD" w:rsidP="001F5F43">
      <w:pPr>
        <w:pStyle w:val="NoSpacing"/>
        <w:spacing w:after="120"/>
        <w:jc w:val="both"/>
        <w:rPr>
          <w:rFonts w:cstheme="minorHAnsi"/>
          <w:sz w:val="24"/>
          <w:szCs w:val="24"/>
        </w:rPr>
      </w:pPr>
      <w:r w:rsidRPr="005C7624">
        <w:rPr>
          <w:rFonts w:cstheme="minorHAnsi"/>
          <w:sz w:val="24"/>
          <w:szCs w:val="24"/>
        </w:rPr>
        <w:t>K</w:t>
      </w:r>
      <w:r w:rsidR="003B59B0" w:rsidRPr="005C7624">
        <w:rPr>
          <w:rFonts w:cstheme="minorHAnsi"/>
          <w:sz w:val="24"/>
          <w:szCs w:val="24"/>
        </w:rPr>
        <w:t>antar</w:t>
      </w:r>
      <w:r w:rsidRPr="005C7624">
        <w:rPr>
          <w:rFonts w:cstheme="minorHAnsi"/>
          <w:sz w:val="24"/>
          <w:szCs w:val="24"/>
        </w:rPr>
        <w:t xml:space="preserve"> TNS (2018) 2017 Great Britain Tourism Survey (GBTS), </w:t>
      </w:r>
      <w:proofErr w:type="spellStart"/>
      <w:r w:rsidRPr="005C7624">
        <w:rPr>
          <w:rFonts w:cstheme="minorHAnsi"/>
          <w:sz w:val="24"/>
          <w:szCs w:val="24"/>
        </w:rPr>
        <w:t>VisitEngland</w:t>
      </w:r>
      <w:proofErr w:type="spellEnd"/>
      <w:r w:rsidRPr="005C7624">
        <w:rPr>
          <w:rFonts w:cstheme="minorHAnsi"/>
          <w:sz w:val="24"/>
          <w:szCs w:val="24"/>
        </w:rPr>
        <w:t>, VisitScotland and Visit Wales, August 2018.</w:t>
      </w:r>
    </w:p>
    <w:p w14:paraId="63BDED20" w14:textId="16BCCF45" w:rsidR="00AF0AB3" w:rsidRPr="005C7624" w:rsidRDefault="00AD6CEE" w:rsidP="001F5F43">
      <w:pPr>
        <w:pStyle w:val="NoSpacing"/>
        <w:spacing w:after="120"/>
        <w:jc w:val="both"/>
        <w:rPr>
          <w:rFonts w:cstheme="minorHAnsi"/>
          <w:sz w:val="24"/>
          <w:szCs w:val="24"/>
        </w:rPr>
      </w:pPr>
      <w:r w:rsidRPr="005C7624">
        <w:rPr>
          <w:rFonts w:cstheme="minorHAnsi"/>
          <w:sz w:val="24"/>
          <w:szCs w:val="24"/>
        </w:rPr>
        <w:t xml:space="preserve">Knight Frank (2017) </w:t>
      </w:r>
      <w:r w:rsidRPr="005C7624">
        <w:rPr>
          <w:rFonts w:cstheme="minorHAnsi"/>
          <w:i/>
          <w:sz w:val="24"/>
          <w:szCs w:val="24"/>
        </w:rPr>
        <w:t>Retail News</w:t>
      </w:r>
      <w:r w:rsidRPr="005C7624">
        <w:rPr>
          <w:rFonts w:cstheme="minorHAnsi"/>
          <w:sz w:val="24"/>
          <w:szCs w:val="24"/>
        </w:rPr>
        <w:t>, Issue 7 – The High Street: Redundant, Relevant or Resurgent?, Newmark Knight Frank, London.</w:t>
      </w:r>
    </w:p>
    <w:p w14:paraId="5E957D5C" w14:textId="646847E1" w:rsidR="00594032" w:rsidRPr="005C7624" w:rsidRDefault="00853AD2" w:rsidP="001F5F43">
      <w:pPr>
        <w:pStyle w:val="NormalWeb"/>
        <w:shd w:val="clear" w:color="auto" w:fill="FFFFFF"/>
        <w:spacing w:after="120" w:afterAutospacing="0"/>
        <w:jc w:val="both"/>
        <w:rPr>
          <w:rFonts w:asciiTheme="minorHAnsi" w:hAnsiTheme="minorHAnsi" w:cstheme="minorHAnsi"/>
        </w:rPr>
      </w:pPr>
      <w:r w:rsidRPr="005C7624">
        <w:rPr>
          <w:rFonts w:asciiTheme="minorHAnsi" w:hAnsiTheme="minorHAnsi" w:cstheme="minorHAnsi"/>
          <w:color w:val="333333"/>
        </w:rPr>
        <w:t xml:space="preserve">Mills, A J, </w:t>
      </w:r>
      <w:proofErr w:type="spellStart"/>
      <w:r w:rsidRPr="005C7624">
        <w:rPr>
          <w:rFonts w:asciiTheme="minorHAnsi" w:hAnsiTheme="minorHAnsi" w:cstheme="minorHAnsi"/>
          <w:color w:val="333333"/>
        </w:rPr>
        <w:t>Durepos</w:t>
      </w:r>
      <w:proofErr w:type="spellEnd"/>
      <w:r w:rsidRPr="005C7624">
        <w:rPr>
          <w:rFonts w:asciiTheme="minorHAnsi" w:hAnsiTheme="minorHAnsi" w:cstheme="minorHAnsi"/>
          <w:color w:val="333333"/>
        </w:rPr>
        <w:t xml:space="preserve">, G and Wiebe, E (2010) Mixed methods in case study research, Edited Mills, A J, </w:t>
      </w:r>
      <w:proofErr w:type="spellStart"/>
      <w:r w:rsidRPr="005C7624">
        <w:rPr>
          <w:rFonts w:asciiTheme="minorHAnsi" w:hAnsiTheme="minorHAnsi" w:cstheme="minorHAnsi"/>
          <w:color w:val="333333"/>
        </w:rPr>
        <w:t>Durepos</w:t>
      </w:r>
      <w:proofErr w:type="spellEnd"/>
      <w:r w:rsidRPr="005C7624">
        <w:rPr>
          <w:rFonts w:asciiTheme="minorHAnsi" w:hAnsiTheme="minorHAnsi" w:cstheme="minorHAnsi"/>
          <w:color w:val="333333"/>
        </w:rPr>
        <w:t xml:space="preserve">, G and Wiebe, E, </w:t>
      </w:r>
      <w:proofErr w:type="spellStart"/>
      <w:r w:rsidRPr="005C7624">
        <w:rPr>
          <w:rFonts w:asciiTheme="minorHAnsi" w:hAnsiTheme="minorHAnsi" w:cstheme="minorHAnsi"/>
          <w:i/>
          <w:iCs/>
          <w:color w:val="333333"/>
        </w:rPr>
        <w:t>Encyclopedia</w:t>
      </w:r>
      <w:proofErr w:type="spellEnd"/>
      <w:r w:rsidRPr="005C7624">
        <w:rPr>
          <w:rFonts w:asciiTheme="minorHAnsi" w:hAnsiTheme="minorHAnsi" w:cstheme="minorHAnsi"/>
          <w:i/>
          <w:iCs/>
          <w:color w:val="333333"/>
        </w:rPr>
        <w:t xml:space="preserve"> of Case Study Research</w:t>
      </w:r>
      <w:r w:rsidRPr="005C7624">
        <w:rPr>
          <w:rFonts w:asciiTheme="minorHAnsi" w:hAnsiTheme="minorHAnsi" w:cstheme="minorHAnsi"/>
          <w:color w:val="333333"/>
        </w:rPr>
        <w:t>, SAGE Publications, Thousand Oaks.</w:t>
      </w:r>
    </w:p>
    <w:p w14:paraId="5CE89936" w14:textId="6D010063" w:rsidR="00EC19AD" w:rsidRPr="005C7624" w:rsidRDefault="000B6E20" w:rsidP="001F5F43">
      <w:pPr>
        <w:pStyle w:val="NoSpacing"/>
        <w:spacing w:after="120"/>
        <w:jc w:val="both"/>
        <w:rPr>
          <w:rFonts w:cstheme="minorHAnsi"/>
          <w:b/>
          <w:bCs/>
          <w:sz w:val="24"/>
          <w:szCs w:val="24"/>
          <w:lang w:eastAsia="en-GB"/>
        </w:rPr>
      </w:pPr>
      <w:r w:rsidRPr="005C7624">
        <w:rPr>
          <w:rFonts w:cstheme="minorHAnsi"/>
          <w:sz w:val="24"/>
          <w:szCs w:val="24"/>
          <w:lang w:eastAsia="en-GB"/>
        </w:rPr>
        <w:t>Ministry of Housing, Communities and</w:t>
      </w:r>
      <w:r w:rsidR="007C7564" w:rsidRPr="005C7624">
        <w:rPr>
          <w:rFonts w:cstheme="minorHAnsi"/>
          <w:sz w:val="24"/>
          <w:szCs w:val="24"/>
          <w:lang w:eastAsia="en-GB"/>
        </w:rPr>
        <w:t xml:space="preserve"> </w:t>
      </w:r>
      <w:r w:rsidRPr="005C7624">
        <w:rPr>
          <w:rFonts w:cstheme="minorHAnsi"/>
          <w:sz w:val="24"/>
          <w:szCs w:val="24"/>
          <w:lang w:eastAsia="en-GB"/>
        </w:rPr>
        <w:t>Local Government (201</w:t>
      </w:r>
      <w:r w:rsidR="00F81A31" w:rsidRPr="005C7624">
        <w:rPr>
          <w:rFonts w:cstheme="minorHAnsi"/>
          <w:sz w:val="24"/>
          <w:szCs w:val="24"/>
          <w:lang w:eastAsia="en-GB"/>
        </w:rPr>
        <w:t>9</w:t>
      </w:r>
      <w:r w:rsidRPr="005C7624">
        <w:rPr>
          <w:rFonts w:cstheme="minorHAnsi"/>
          <w:sz w:val="24"/>
          <w:szCs w:val="24"/>
          <w:lang w:eastAsia="en-GB"/>
        </w:rPr>
        <w:t xml:space="preserve">) </w:t>
      </w:r>
      <w:r w:rsidRPr="005C7624">
        <w:rPr>
          <w:rFonts w:cstheme="minorHAnsi"/>
          <w:i/>
          <w:iCs/>
          <w:sz w:val="24"/>
          <w:szCs w:val="24"/>
          <w:lang w:eastAsia="en-GB"/>
        </w:rPr>
        <w:t>National Planning Policy Framework</w:t>
      </w:r>
      <w:r w:rsidR="007C7564" w:rsidRPr="005C7624">
        <w:rPr>
          <w:rFonts w:cstheme="minorHAnsi"/>
          <w:sz w:val="24"/>
          <w:szCs w:val="24"/>
          <w:lang w:eastAsia="en-GB"/>
        </w:rPr>
        <w:t xml:space="preserve">, </w:t>
      </w:r>
      <w:r w:rsidR="00F81A31" w:rsidRPr="005C7624">
        <w:rPr>
          <w:rFonts w:cstheme="minorHAnsi"/>
          <w:sz w:val="24"/>
          <w:szCs w:val="24"/>
          <w:lang w:eastAsia="en-GB"/>
        </w:rPr>
        <w:t>19 February 2019, Ministry of Housing, Communities and Local Government</w:t>
      </w:r>
      <w:r w:rsidR="00F81A31" w:rsidRPr="005C7624">
        <w:rPr>
          <w:rFonts w:cstheme="minorHAnsi"/>
          <w:sz w:val="24"/>
          <w:szCs w:val="24"/>
        </w:rPr>
        <w:t>, London.</w:t>
      </w:r>
    </w:p>
    <w:p w14:paraId="5A720AE2" w14:textId="775AAF38" w:rsidR="004A0358" w:rsidRPr="005C7624" w:rsidRDefault="00EC19AD" w:rsidP="001F5F43">
      <w:pPr>
        <w:pStyle w:val="NoSpacing"/>
        <w:spacing w:after="120"/>
        <w:jc w:val="both"/>
        <w:rPr>
          <w:rFonts w:cstheme="minorHAnsi"/>
          <w:sz w:val="24"/>
          <w:szCs w:val="24"/>
          <w:lang w:eastAsia="en-GB"/>
        </w:rPr>
      </w:pPr>
      <w:proofErr w:type="spellStart"/>
      <w:r w:rsidRPr="005C7624">
        <w:rPr>
          <w:rFonts w:cstheme="minorHAnsi"/>
          <w:sz w:val="24"/>
          <w:szCs w:val="24"/>
          <w:lang w:eastAsia="en-GB"/>
        </w:rPr>
        <w:t>nomis</w:t>
      </w:r>
      <w:proofErr w:type="spellEnd"/>
      <w:r w:rsidRPr="005C7624">
        <w:rPr>
          <w:rFonts w:cstheme="minorHAnsi"/>
          <w:sz w:val="24"/>
          <w:szCs w:val="24"/>
          <w:lang w:eastAsia="en-GB"/>
        </w:rPr>
        <w:t xml:space="preserve"> (2020) Area Profiles, timeseries datasets, </w:t>
      </w:r>
      <w:proofErr w:type="spellStart"/>
      <w:r w:rsidRPr="005C7624">
        <w:rPr>
          <w:rFonts w:cstheme="minorHAnsi"/>
          <w:i/>
          <w:iCs/>
          <w:sz w:val="24"/>
          <w:szCs w:val="24"/>
          <w:lang w:eastAsia="en-GB"/>
        </w:rPr>
        <w:t>nomis</w:t>
      </w:r>
      <w:proofErr w:type="spellEnd"/>
      <w:r w:rsidRPr="005C7624">
        <w:rPr>
          <w:rFonts w:cstheme="minorHAnsi"/>
          <w:sz w:val="24"/>
          <w:szCs w:val="24"/>
          <w:lang w:eastAsia="en-GB"/>
        </w:rPr>
        <w:t>, available at https://www.nomisweb.co.uk/reports/lmp/la/1946157420/report.aspx?town=glasgow</w:t>
      </w:r>
    </w:p>
    <w:p w14:paraId="03B6F5F8" w14:textId="5A78B858" w:rsidR="00AD4C57" w:rsidRPr="005C7624" w:rsidRDefault="000D4603" w:rsidP="001F5F43">
      <w:pPr>
        <w:pStyle w:val="NoSpacing"/>
        <w:spacing w:after="120"/>
        <w:jc w:val="both"/>
        <w:rPr>
          <w:rFonts w:cstheme="minorHAnsi"/>
          <w:sz w:val="24"/>
          <w:szCs w:val="24"/>
          <w:lang w:eastAsia="en-GB"/>
        </w:rPr>
      </w:pPr>
      <w:r w:rsidRPr="005C7624">
        <w:rPr>
          <w:rFonts w:cstheme="minorHAnsi"/>
          <w:sz w:val="24"/>
          <w:szCs w:val="24"/>
          <w:lang w:eastAsia="en-GB"/>
        </w:rPr>
        <w:t>Ord</w:t>
      </w:r>
      <w:r w:rsidR="0058634B" w:rsidRPr="005C7624">
        <w:rPr>
          <w:rFonts w:cstheme="minorHAnsi"/>
          <w:sz w:val="24"/>
          <w:szCs w:val="24"/>
          <w:lang w:eastAsia="en-GB"/>
        </w:rPr>
        <w:t>n</w:t>
      </w:r>
      <w:r w:rsidRPr="005C7624">
        <w:rPr>
          <w:rFonts w:cstheme="minorHAnsi"/>
          <w:sz w:val="24"/>
          <w:szCs w:val="24"/>
          <w:lang w:eastAsia="en-GB"/>
        </w:rPr>
        <w:t>ance Survey (2019)</w:t>
      </w:r>
      <w:r w:rsidR="0058634B" w:rsidRPr="005C7624">
        <w:rPr>
          <w:rFonts w:cstheme="minorHAnsi"/>
          <w:sz w:val="24"/>
          <w:szCs w:val="24"/>
          <w:lang w:eastAsia="en-GB"/>
        </w:rPr>
        <w:t xml:space="preserve"> </w:t>
      </w:r>
      <w:r w:rsidR="0058634B" w:rsidRPr="005C7624">
        <w:rPr>
          <w:rFonts w:cstheme="minorHAnsi"/>
          <w:i/>
          <w:iCs/>
          <w:sz w:val="24"/>
          <w:szCs w:val="24"/>
          <w:lang w:eastAsia="en-GB"/>
        </w:rPr>
        <w:t>High streets in Great Britain. Mapping the location and characteristics of high streets in Great Britain, working with experimental Ordnance Survey High Street extents and Office for National Statistics data</w:t>
      </w:r>
      <w:r w:rsidR="0058634B" w:rsidRPr="005C7624">
        <w:rPr>
          <w:rFonts w:cstheme="minorHAnsi"/>
          <w:sz w:val="24"/>
          <w:szCs w:val="24"/>
          <w:lang w:eastAsia="en-GB"/>
        </w:rPr>
        <w:t xml:space="preserve">, ONS, Accessible at </w:t>
      </w:r>
      <w:hyperlink r:id="rId29" w:anchor="quality-and-methodology" w:history="1">
        <w:r w:rsidR="0058634B" w:rsidRPr="005C7624">
          <w:rPr>
            <w:rStyle w:val="Hyperlink"/>
            <w:rFonts w:cstheme="minorHAnsi"/>
            <w:sz w:val="24"/>
            <w:szCs w:val="24"/>
            <w:lang w:eastAsia="en-GB"/>
          </w:rPr>
          <w:t>https://www.ons.gov.uk/peoplepopulationandcommunity/populationandmigration/populationestimates/articles/highstreetsingreatbritain/2019-06-06#quality-and-methodology</w:t>
        </w:r>
      </w:hyperlink>
      <w:r w:rsidR="0058634B" w:rsidRPr="005C7624">
        <w:rPr>
          <w:rFonts w:cstheme="minorHAnsi"/>
          <w:sz w:val="24"/>
          <w:szCs w:val="24"/>
          <w:lang w:eastAsia="en-GB"/>
        </w:rPr>
        <w:t>.</w:t>
      </w:r>
    </w:p>
    <w:p w14:paraId="13394EA4" w14:textId="2E442328" w:rsidR="00EB727F" w:rsidRPr="005C7624" w:rsidRDefault="00EB727F" w:rsidP="001F5F43">
      <w:pPr>
        <w:pStyle w:val="NoSpacing"/>
        <w:spacing w:after="120"/>
        <w:jc w:val="both"/>
        <w:rPr>
          <w:rFonts w:cstheme="minorHAnsi"/>
          <w:sz w:val="24"/>
          <w:szCs w:val="24"/>
        </w:rPr>
      </w:pPr>
      <w:r w:rsidRPr="005C7624">
        <w:rPr>
          <w:rFonts w:cstheme="minorHAnsi"/>
          <w:sz w:val="24"/>
          <w:szCs w:val="24"/>
        </w:rPr>
        <w:t xml:space="preserve">PMA (2020a) Edinburgh </w:t>
      </w:r>
      <w:proofErr w:type="spellStart"/>
      <w:r w:rsidRPr="005C7624">
        <w:rPr>
          <w:rFonts w:cstheme="minorHAnsi"/>
          <w:sz w:val="24"/>
          <w:szCs w:val="24"/>
        </w:rPr>
        <w:t>Promis</w:t>
      </w:r>
      <w:proofErr w:type="spellEnd"/>
      <w:r w:rsidRPr="005C7624">
        <w:rPr>
          <w:rFonts w:cstheme="minorHAnsi"/>
          <w:sz w:val="24"/>
          <w:szCs w:val="24"/>
        </w:rPr>
        <w:t xml:space="preserve"> Retail Report, 1</w:t>
      </w:r>
      <w:r w:rsidRPr="005C7624">
        <w:rPr>
          <w:rFonts w:cstheme="minorHAnsi"/>
          <w:sz w:val="24"/>
          <w:szCs w:val="24"/>
          <w:vertAlign w:val="superscript"/>
        </w:rPr>
        <w:t>st</w:t>
      </w:r>
      <w:r w:rsidRPr="005C7624">
        <w:rPr>
          <w:rFonts w:cstheme="minorHAnsi"/>
          <w:sz w:val="24"/>
          <w:szCs w:val="24"/>
        </w:rPr>
        <w:t xml:space="preserve"> October 2020, Property Market Analysis, London.</w:t>
      </w:r>
    </w:p>
    <w:p w14:paraId="1AA37DA5" w14:textId="63EDA0F1" w:rsidR="00EB727F" w:rsidRPr="005C7624" w:rsidRDefault="00EB727F" w:rsidP="001F5F43">
      <w:pPr>
        <w:pStyle w:val="NoSpacing"/>
        <w:spacing w:after="120"/>
        <w:jc w:val="both"/>
        <w:rPr>
          <w:rFonts w:cstheme="minorHAnsi"/>
          <w:sz w:val="24"/>
          <w:szCs w:val="24"/>
        </w:rPr>
      </w:pPr>
      <w:r w:rsidRPr="005C7624">
        <w:rPr>
          <w:rFonts w:cstheme="minorHAnsi"/>
          <w:sz w:val="24"/>
          <w:szCs w:val="24"/>
        </w:rPr>
        <w:t xml:space="preserve">PMA (2020b) Glasgow </w:t>
      </w:r>
      <w:proofErr w:type="spellStart"/>
      <w:r w:rsidRPr="005C7624">
        <w:rPr>
          <w:rFonts w:cstheme="minorHAnsi"/>
          <w:sz w:val="24"/>
          <w:szCs w:val="24"/>
        </w:rPr>
        <w:t>Promis</w:t>
      </w:r>
      <w:proofErr w:type="spellEnd"/>
      <w:r w:rsidRPr="005C7624">
        <w:rPr>
          <w:rFonts w:cstheme="minorHAnsi"/>
          <w:sz w:val="24"/>
          <w:szCs w:val="24"/>
        </w:rPr>
        <w:t xml:space="preserve"> Retail Report, 1</w:t>
      </w:r>
      <w:r w:rsidRPr="005C7624">
        <w:rPr>
          <w:rFonts w:cstheme="minorHAnsi"/>
          <w:sz w:val="24"/>
          <w:szCs w:val="24"/>
          <w:vertAlign w:val="superscript"/>
        </w:rPr>
        <w:t>st</w:t>
      </w:r>
      <w:r w:rsidRPr="005C7624">
        <w:rPr>
          <w:rFonts w:cstheme="minorHAnsi"/>
          <w:sz w:val="24"/>
          <w:szCs w:val="24"/>
        </w:rPr>
        <w:t xml:space="preserve"> October 2020, Property Market Analysis, London.</w:t>
      </w:r>
    </w:p>
    <w:p w14:paraId="61C435CD" w14:textId="6444F4D6" w:rsidR="00EB727F" w:rsidRPr="005C7624" w:rsidRDefault="00EB727F" w:rsidP="001F5F43">
      <w:pPr>
        <w:pStyle w:val="NoSpacing"/>
        <w:spacing w:after="120"/>
        <w:jc w:val="both"/>
        <w:rPr>
          <w:rFonts w:cstheme="minorHAnsi"/>
          <w:sz w:val="24"/>
          <w:szCs w:val="24"/>
        </w:rPr>
      </w:pPr>
      <w:r w:rsidRPr="005C7624">
        <w:rPr>
          <w:rFonts w:cstheme="minorHAnsi"/>
          <w:sz w:val="24"/>
          <w:szCs w:val="24"/>
        </w:rPr>
        <w:t xml:space="preserve">PMA (2020d) Hull </w:t>
      </w:r>
      <w:proofErr w:type="spellStart"/>
      <w:r w:rsidRPr="005C7624">
        <w:rPr>
          <w:rFonts w:cstheme="minorHAnsi"/>
          <w:sz w:val="24"/>
          <w:szCs w:val="24"/>
        </w:rPr>
        <w:t>Promis</w:t>
      </w:r>
      <w:proofErr w:type="spellEnd"/>
      <w:r w:rsidRPr="005C7624">
        <w:rPr>
          <w:rFonts w:cstheme="minorHAnsi"/>
          <w:sz w:val="24"/>
          <w:szCs w:val="24"/>
        </w:rPr>
        <w:t xml:space="preserve"> Retail Report, 1</w:t>
      </w:r>
      <w:r w:rsidRPr="005C7624">
        <w:rPr>
          <w:rFonts w:cstheme="minorHAnsi"/>
          <w:sz w:val="24"/>
          <w:szCs w:val="24"/>
          <w:vertAlign w:val="superscript"/>
        </w:rPr>
        <w:t>st</w:t>
      </w:r>
      <w:r w:rsidRPr="005C7624">
        <w:rPr>
          <w:rFonts w:cstheme="minorHAnsi"/>
          <w:sz w:val="24"/>
          <w:szCs w:val="24"/>
        </w:rPr>
        <w:t xml:space="preserve"> October 2020, Property Market Analysis, London.</w:t>
      </w:r>
    </w:p>
    <w:p w14:paraId="1B0992C3" w14:textId="070574B3" w:rsidR="00EB727F" w:rsidRPr="005C7624" w:rsidRDefault="00EB727F" w:rsidP="001F5F43">
      <w:pPr>
        <w:pStyle w:val="NoSpacing"/>
        <w:spacing w:after="120"/>
        <w:jc w:val="both"/>
        <w:rPr>
          <w:rFonts w:cstheme="minorHAnsi"/>
          <w:sz w:val="24"/>
          <w:szCs w:val="24"/>
        </w:rPr>
      </w:pPr>
      <w:r w:rsidRPr="005C7624">
        <w:rPr>
          <w:rFonts w:cstheme="minorHAnsi"/>
          <w:sz w:val="24"/>
          <w:szCs w:val="24"/>
        </w:rPr>
        <w:t xml:space="preserve">PMA (2020d) Liverpool </w:t>
      </w:r>
      <w:proofErr w:type="spellStart"/>
      <w:r w:rsidRPr="005C7624">
        <w:rPr>
          <w:rFonts w:cstheme="minorHAnsi"/>
          <w:sz w:val="24"/>
          <w:szCs w:val="24"/>
        </w:rPr>
        <w:t>Promis</w:t>
      </w:r>
      <w:proofErr w:type="spellEnd"/>
      <w:r w:rsidRPr="005C7624">
        <w:rPr>
          <w:rFonts w:cstheme="minorHAnsi"/>
          <w:sz w:val="24"/>
          <w:szCs w:val="24"/>
        </w:rPr>
        <w:t xml:space="preserve"> Retail Report, 1</w:t>
      </w:r>
      <w:r w:rsidRPr="005C7624">
        <w:rPr>
          <w:rFonts w:cstheme="minorHAnsi"/>
          <w:sz w:val="24"/>
          <w:szCs w:val="24"/>
          <w:vertAlign w:val="superscript"/>
        </w:rPr>
        <w:t>st</w:t>
      </w:r>
      <w:r w:rsidRPr="005C7624">
        <w:rPr>
          <w:rFonts w:cstheme="minorHAnsi"/>
          <w:sz w:val="24"/>
          <w:szCs w:val="24"/>
        </w:rPr>
        <w:t xml:space="preserve"> October 2020, Property Market Analysis, London.</w:t>
      </w:r>
    </w:p>
    <w:p w14:paraId="6A18CF8B" w14:textId="42689023" w:rsidR="00EB727F" w:rsidRPr="005C7624" w:rsidRDefault="00EB727F" w:rsidP="001F5F43">
      <w:pPr>
        <w:pStyle w:val="NoSpacing"/>
        <w:spacing w:after="120"/>
        <w:jc w:val="both"/>
        <w:rPr>
          <w:rFonts w:cstheme="minorHAnsi"/>
          <w:sz w:val="24"/>
          <w:szCs w:val="24"/>
        </w:rPr>
      </w:pPr>
      <w:r w:rsidRPr="005C7624">
        <w:rPr>
          <w:rFonts w:cstheme="minorHAnsi"/>
          <w:sz w:val="24"/>
          <w:szCs w:val="24"/>
        </w:rPr>
        <w:t xml:space="preserve">PMA (2020e) Nottingham </w:t>
      </w:r>
      <w:proofErr w:type="spellStart"/>
      <w:r w:rsidRPr="005C7624">
        <w:rPr>
          <w:rFonts w:cstheme="minorHAnsi"/>
          <w:sz w:val="24"/>
          <w:szCs w:val="24"/>
        </w:rPr>
        <w:t>Promis</w:t>
      </w:r>
      <w:proofErr w:type="spellEnd"/>
      <w:r w:rsidRPr="005C7624">
        <w:rPr>
          <w:rFonts w:cstheme="minorHAnsi"/>
          <w:sz w:val="24"/>
          <w:szCs w:val="24"/>
        </w:rPr>
        <w:t xml:space="preserve"> Retail Report, 1</w:t>
      </w:r>
      <w:r w:rsidRPr="005C7624">
        <w:rPr>
          <w:rFonts w:cstheme="minorHAnsi"/>
          <w:sz w:val="24"/>
          <w:szCs w:val="24"/>
          <w:vertAlign w:val="superscript"/>
        </w:rPr>
        <w:t>st</w:t>
      </w:r>
      <w:r w:rsidRPr="005C7624">
        <w:rPr>
          <w:rFonts w:cstheme="minorHAnsi"/>
          <w:sz w:val="24"/>
          <w:szCs w:val="24"/>
        </w:rPr>
        <w:t xml:space="preserve"> October 2020, Property Market Analysis, London.</w:t>
      </w:r>
    </w:p>
    <w:p w14:paraId="5BFBD334" w14:textId="406E5632" w:rsidR="00E51E9C" w:rsidRPr="005C7624" w:rsidRDefault="00AD4C57" w:rsidP="001F5F43">
      <w:pPr>
        <w:pStyle w:val="NoSpacing"/>
        <w:spacing w:after="120"/>
        <w:jc w:val="both"/>
        <w:rPr>
          <w:rFonts w:cstheme="minorHAnsi"/>
          <w:sz w:val="24"/>
          <w:szCs w:val="24"/>
        </w:rPr>
      </w:pPr>
      <w:r w:rsidRPr="005C7624">
        <w:rPr>
          <w:rFonts w:cstheme="minorHAnsi"/>
          <w:sz w:val="24"/>
          <w:szCs w:val="24"/>
        </w:rPr>
        <w:t xml:space="preserve">PMA (2021) </w:t>
      </w:r>
      <w:r w:rsidRPr="005C7624">
        <w:rPr>
          <w:rFonts w:cstheme="minorHAnsi"/>
          <w:i/>
          <w:iCs/>
          <w:sz w:val="24"/>
          <w:szCs w:val="24"/>
        </w:rPr>
        <w:t>UK Retail Historic Time Series Data</w:t>
      </w:r>
      <w:r w:rsidRPr="005C7624">
        <w:rPr>
          <w:rFonts w:cstheme="minorHAnsi"/>
          <w:sz w:val="24"/>
          <w:szCs w:val="24"/>
        </w:rPr>
        <w:t>, Property Market Analysis, London.</w:t>
      </w:r>
    </w:p>
    <w:p w14:paraId="417402E7" w14:textId="05A913C8" w:rsidR="00674A5A" w:rsidRPr="005C7624" w:rsidRDefault="00E51E9C" w:rsidP="001F5F43">
      <w:pPr>
        <w:pStyle w:val="NoSpacing"/>
        <w:spacing w:after="120"/>
        <w:jc w:val="both"/>
        <w:rPr>
          <w:rFonts w:cstheme="minorHAnsi"/>
          <w:sz w:val="24"/>
          <w:szCs w:val="24"/>
        </w:rPr>
      </w:pPr>
      <w:r w:rsidRPr="005C7624">
        <w:rPr>
          <w:rFonts w:cstheme="minorHAnsi"/>
          <w:sz w:val="24"/>
          <w:szCs w:val="24"/>
        </w:rPr>
        <w:t>Reynolds, J and Schiller, R (1992) A new classification of shopping centres in Great Britain using multiple branch numbers</w:t>
      </w:r>
      <w:r w:rsidRPr="005C7624">
        <w:rPr>
          <w:rFonts w:cstheme="minorHAnsi"/>
          <w:i/>
          <w:sz w:val="24"/>
          <w:szCs w:val="24"/>
        </w:rPr>
        <w:t>, Journal of Property Research</w:t>
      </w:r>
      <w:r w:rsidRPr="005C7624">
        <w:rPr>
          <w:rFonts w:cstheme="minorHAnsi"/>
          <w:sz w:val="24"/>
          <w:szCs w:val="24"/>
        </w:rPr>
        <w:t xml:space="preserve">, </w:t>
      </w:r>
      <w:r w:rsidRPr="005C7624">
        <w:rPr>
          <w:rFonts w:cstheme="minorHAnsi"/>
          <w:b/>
          <w:sz w:val="24"/>
          <w:szCs w:val="24"/>
        </w:rPr>
        <w:t>9</w:t>
      </w:r>
      <w:r w:rsidRPr="005C7624">
        <w:rPr>
          <w:rFonts w:cstheme="minorHAnsi"/>
          <w:sz w:val="24"/>
          <w:szCs w:val="24"/>
        </w:rPr>
        <w:t>,122-160.</w:t>
      </w:r>
    </w:p>
    <w:p w14:paraId="45CBA6A0" w14:textId="1BC5931A" w:rsidR="00E45CE8" w:rsidRPr="005C7624" w:rsidRDefault="00E45CE8" w:rsidP="001F5F43">
      <w:pPr>
        <w:pStyle w:val="NoSpacing"/>
        <w:spacing w:after="120"/>
        <w:jc w:val="both"/>
        <w:rPr>
          <w:rFonts w:cstheme="minorHAnsi"/>
          <w:sz w:val="24"/>
          <w:szCs w:val="24"/>
        </w:rPr>
      </w:pPr>
      <w:r w:rsidRPr="005C7624">
        <w:rPr>
          <w:rFonts w:cstheme="minorHAnsi"/>
          <w:sz w:val="24"/>
          <w:szCs w:val="24"/>
        </w:rPr>
        <w:t>Schiller, R and Jarrett, A (1985) A ranking of shopping centres using multiple branch numbers</w:t>
      </w:r>
      <w:r w:rsidR="00E15FB6" w:rsidRPr="005C7624">
        <w:rPr>
          <w:rFonts w:cstheme="minorHAnsi"/>
          <w:sz w:val="24"/>
          <w:szCs w:val="24"/>
        </w:rPr>
        <w:t>,</w:t>
      </w:r>
      <w:r w:rsidRPr="005C7624">
        <w:rPr>
          <w:rFonts w:cstheme="minorHAnsi"/>
          <w:sz w:val="24"/>
          <w:szCs w:val="24"/>
        </w:rPr>
        <w:t xml:space="preserve"> </w:t>
      </w:r>
      <w:r w:rsidRPr="005C7624">
        <w:rPr>
          <w:rFonts w:cstheme="minorHAnsi"/>
          <w:i/>
          <w:iCs/>
          <w:sz w:val="24"/>
          <w:szCs w:val="24"/>
        </w:rPr>
        <w:t>Land Development Studies</w:t>
      </w:r>
      <w:r w:rsidRPr="005C7624">
        <w:rPr>
          <w:rFonts w:cstheme="minorHAnsi"/>
          <w:sz w:val="24"/>
          <w:szCs w:val="24"/>
        </w:rPr>
        <w:t xml:space="preserve">, </w:t>
      </w:r>
      <w:r w:rsidRPr="005C7624">
        <w:rPr>
          <w:rFonts w:cstheme="minorHAnsi"/>
          <w:b/>
          <w:bCs/>
          <w:sz w:val="24"/>
          <w:szCs w:val="24"/>
        </w:rPr>
        <w:t>2</w:t>
      </w:r>
      <w:r w:rsidRPr="005C7624">
        <w:rPr>
          <w:rFonts w:cstheme="minorHAnsi"/>
          <w:sz w:val="24"/>
          <w:szCs w:val="24"/>
        </w:rPr>
        <w:t>, 53-100.</w:t>
      </w:r>
    </w:p>
    <w:p w14:paraId="47D06396" w14:textId="40FF434C" w:rsidR="007C045C" w:rsidRPr="005C7624" w:rsidRDefault="00E45CE8" w:rsidP="001F5F43">
      <w:pPr>
        <w:pStyle w:val="NoSpacing"/>
        <w:spacing w:after="120"/>
        <w:jc w:val="both"/>
        <w:rPr>
          <w:rFonts w:cstheme="minorHAnsi"/>
          <w:sz w:val="24"/>
          <w:szCs w:val="24"/>
        </w:rPr>
      </w:pPr>
      <w:r w:rsidRPr="005C7624">
        <w:rPr>
          <w:rFonts w:cstheme="minorHAnsi"/>
          <w:sz w:val="24"/>
          <w:szCs w:val="24"/>
        </w:rPr>
        <w:lastRenderedPageBreak/>
        <w:t xml:space="preserve">Scottish Government (2014) </w:t>
      </w:r>
      <w:r w:rsidRPr="005C7624">
        <w:rPr>
          <w:rFonts w:cstheme="minorHAnsi"/>
          <w:i/>
          <w:iCs/>
          <w:sz w:val="24"/>
          <w:szCs w:val="24"/>
        </w:rPr>
        <w:t>National Planning Framework 3</w:t>
      </w:r>
      <w:r w:rsidRPr="005C7624">
        <w:rPr>
          <w:rFonts w:cstheme="minorHAnsi"/>
          <w:sz w:val="24"/>
          <w:szCs w:val="24"/>
        </w:rPr>
        <w:t>, June 2014, Scottish Government, Edinburgh.</w:t>
      </w:r>
    </w:p>
    <w:p w14:paraId="61BFEDA7" w14:textId="34C692EC" w:rsidR="00E65F3B" w:rsidRPr="005C7624" w:rsidRDefault="00793328" w:rsidP="001F5F43">
      <w:pPr>
        <w:pStyle w:val="NoSpacing"/>
        <w:spacing w:after="120"/>
        <w:jc w:val="both"/>
        <w:rPr>
          <w:rFonts w:cstheme="minorHAnsi"/>
          <w:sz w:val="24"/>
          <w:szCs w:val="24"/>
        </w:rPr>
      </w:pPr>
      <w:r w:rsidRPr="005C7624">
        <w:rPr>
          <w:rFonts w:cstheme="minorHAnsi"/>
          <w:sz w:val="24"/>
          <w:szCs w:val="24"/>
        </w:rPr>
        <w:t xml:space="preserve">VisitScotland (2018a) </w:t>
      </w:r>
      <w:r w:rsidRPr="005C7624">
        <w:rPr>
          <w:rFonts w:cstheme="minorHAnsi"/>
          <w:i/>
          <w:iCs/>
          <w:sz w:val="24"/>
          <w:szCs w:val="24"/>
        </w:rPr>
        <w:t>Edinburgh and Lothian 2017</w:t>
      </w:r>
      <w:r w:rsidRPr="005C7624">
        <w:rPr>
          <w:rFonts w:cstheme="minorHAnsi"/>
          <w:sz w:val="24"/>
          <w:szCs w:val="24"/>
        </w:rPr>
        <w:t>, VisitScotland.</w:t>
      </w:r>
    </w:p>
    <w:p w14:paraId="1FD6EFF1" w14:textId="0F9A7D53" w:rsidR="00E65F3B" w:rsidRPr="005C7624" w:rsidRDefault="00793328" w:rsidP="001F5F43">
      <w:pPr>
        <w:pStyle w:val="NoSpacing"/>
        <w:spacing w:after="120"/>
        <w:jc w:val="both"/>
        <w:rPr>
          <w:rFonts w:cstheme="minorHAnsi"/>
          <w:sz w:val="24"/>
          <w:szCs w:val="24"/>
        </w:rPr>
      </w:pPr>
      <w:r w:rsidRPr="005C7624">
        <w:rPr>
          <w:rFonts w:cstheme="minorHAnsi"/>
          <w:sz w:val="24"/>
          <w:szCs w:val="24"/>
        </w:rPr>
        <w:t xml:space="preserve">VisitScotland (2018b) </w:t>
      </w:r>
      <w:r w:rsidRPr="005C7624">
        <w:rPr>
          <w:rFonts w:cstheme="minorHAnsi"/>
          <w:i/>
          <w:iCs/>
          <w:sz w:val="24"/>
          <w:szCs w:val="24"/>
        </w:rPr>
        <w:t>Greater Glasgow and Clyde Valley Factsheet 2017</w:t>
      </w:r>
      <w:r w:rsidRPr="005C7624">
        <w:rPr>
          <w:rFonts w:cstheme="minorHAnsi"/>
          <w:sz w:val="24"/>
          <w:szCs w:val="24"/>
        </w:rPr>
        <w:t>, VisitScotland.</w:t>
      </w:r>
    </w:p>
    <w:p w14:paraId="6383F08E" w14:textId="2106D6FE" w:rsidR="00321FA3" w:rsidRPr="001369FA" w:rsidRDefault="00321FA3" w:rsidP="001F5F43">
      <w:pPr>
        <w:pStyle w:val="NoSpacing"/>
        <w:spacing w:after="120"/>
        <w:jc w:val="both"/>
        <w:rPr>
          <w:rFonts w:cstheme="minorHAnsi"/>
          <w:sz w:val="24"/>
          <w:szCs w:val="24"/>
        </w:rPr>
      </w:pPr>
      <w:r w:rsidRPr="005C7624">
        <w:rPr>
          <w:rFonts w:cstheme="minorHAnsi"/>
          <w:sz w:val="24"/>
          <w:szCs w:val="24"/>
        </w:rPr>
        <w:t xml:space="preserve">Wrigley, N and </w:t>
      </w:r>
      <w:proofErr w:type="spellStart"/>
      <w:r w:rsidRPr="005C7624">
        <w:rPr>
          <w:rFonts w:cstheme="minorHAnsi"/>
          <w:sz w:val="24"/>
          <w:szCs w:val="24"/>
        </w:rPr>
        <w:t>Dolega</w:t>
      </w:r>
      <w:proofErr w:type="spellEnd"/>
      <w:r w:rsidRPr="005C7624">
        <w:rPr>
          <w:rFonts w:cstheme="minorHAnsi"/>
          <w:sz w:val="24"/>
          <w:szCs w:val="24"/>
        </w:rPr>
        <w:t xml:space="preserve">, L (2011) Resilience, fragility, and adaptation: new evidence on the performance of UK high streets during global economic crisis and its policy implications, </w:t>
      </w:r>
      <w:r w:rsidRPr="005C7624">
        <w:rPr>
          <w:rFonts w:cstheme="minorHAnsi"/>
          <w:i/>
          <w:sz w:val="24"/>
          <w:szCs w:val="24"/>
        </w:rPr>
        <w:t>Environment and Planning A</w:t>
      </w:r>
      <w:r w:rsidRPr="005C7624">
        <w:rPr>
          <w:rFonts w:cstheme="minorHAnsi"/>
          <w:sz w:val="24"/>
          <w:szCs w:val="24"/>
        </w:rPr>
        <w:t xml:space="preserve">, </w:t>
      </w:r>
      <w:r w:rsidRPr="005C7624">
        <w:rPr>
          <w:rFonts w:cstheme="minorHAnsi"/>
          <w:b/>
          <w:bCs/>
          <w:sz w:val="24"/>
          <w:szCs w:val="24"/>
        </w:rPr>
        <w:t>43</w:t>
      </w:r>
      <w:r w:rsidR="005222C1" w:rsidRPr="005C7624">
        <w:rPr>
          <w:rFonts w:cstheme="minorHAnsi"/>
          <w:sz w:val="24"/>
          <w:szCs w:val="24"/>
        </w:rPr>
        <w:t>(10)</w:t>
      </w:r>
      <w:r w:rsidRPr="005C7624">
        <w:rPr>
          <w:rFonts w:cstheme="minorHAnsi"/>
          <w:sz w:val="24"/>
          <w:szCs w:val="24"/>
        </w:rPr>
        <w:t>, 2337 – 2363.</w:t>
      </w:r>
    </w:p>
    <w:p w14:paraId="2DEA4336" w14:textId="77777777" w:rsidR="00AD6CEE" w:rsidRPr="00287E10" w:rsidRDefault="00AD6CEE" w:rsidP="0014066A">
      <w:pPr>
        <w:pStyle w:val="NoSpacing"/>
        <w:spacing w:line="360" w:lineRule="auto"/>
        <w:ind w:left="284" w:hanging="284"/>
        <w:jc w:val="both"/>
        <w:rPr>
          <w:rFonts w:cstheme="minorHAnsi"/>
        </w:rPr>
        <w:sectPr w:rsidR="00AD6CEE" w:rsidRPr="00287E10" w:rsidSect="00764056">
          <w:footerReference w:type="default" r:id="rId30"/>
          <w:pgSz w:w="11906" w:h="16838" w:code="9"/>
          <w:pgMar w:top="1247" w:right="1247" w:bottom="1247" w:left="1247" w:header="709" w:footer="709" w:gutter="0"/>
          <w:pgBorders w:offsetFrom="page">
            <w:top w:val="single" w:sz="4" w:space="24" w:color="548DD4" w:themeColor="text2" w:themeTint="99"/>
            <w:left w:val="single" w:sz="4" w:space="24" w:color="548DD4" w:themeColor="text2" w:themeTint="99"/>
            <w:bottom w:val="single" w:sz="4" w:space="24" w:color="548DD4" w:themeColor="text2" w:themeTint="99"/>
            <w:right w:val="single" w:sz="4" w:space="24" w:color="548DD4" w:themeColor="text2" w:themeTint="99"/>
          </w:pgBorders>
          <w:cols w:space="708"/>
          <w:docGrid w:linePitch="360"/>
        </w:sectPr>
      </w:pPr>
      <w:r w:rsidRPr="00287E10">
        <w:rPr>
          <w:rFonts w:cstheme="minorHAnsi"/>
        </w:rPr>
        <w:t>.</w:t>
      </w:r>
    </w:p>
    <w:p w14:paraId="0F212B16" w14:textId="725A6747" w:rsidR="00AF0AB3" w:rsidRPr="00F46539" w:rsidRDefault="00AF0AB3" w:rsidP="00AF0AB3">
      <w:pPr>
        <w:rPr>
          <w:rFonts w:asciiTheme="minorHAnsi" w:eastAsiaTheme="minorHAnsi" w:hAnsiTheme="minorHAnsi" w:cstheme="minorHAnsi"/>
          <w:b/>
          <w:bCs/>
          <w:sz w:val="22"/>
          <w:szCs w:val="22"/>
        </w:rPr>
      </w:pPr>
      <w:r w:rsidRPr="00F46539">
        <w:rPr>
          <w:rFonts w:asciiTheme="minorHAnsi" w:eastAsiaTheme="minorHAnsi" w:hAnsiTheme="minorHAnsi" w:cstheme="minorHAnsi"/>
          <w:b/>
          <w:bCs/>
          <w:sz w:val="22"/>
          <w:szCs w:val="22"/>
        </w:rPr>
        <w:lastRenderedPageBreak/>
        <w:t xml:space="preserve">Appendix </w:t>
      </w:r>
      <w:r w:rsidR="00A408AC">
        <w:rPr>
          <w:rFonts w:asciiTheme="minorHAnsi" w:eastAsiaTheme="minorHAnsi" w:hAnsiTheme="minorHAnsi" w:cstheme="minorHAnsi"/>
          <w:b/>
          <w:bCs/>
          <w:sz w:val="22"/>
          <w:szCs w:val="22"/>
        </w:rPr>
        <w:t>1</w:t>
      </w:r>
    </w:p>
    <w:p w14:paraId="067EB4E0" w14:textId="77777777" w:rsidR="00AF0AB3" w:rsidRPr="00287E10" w:rsidRDefault="00AF0AB3" w:rsidP="00AF0AB3">
      <w:pPr>
        <w:rPr>
          <w:rFonts w:asciiTheme="minorHAnsi" w:eastAsiaTheme="minorHAnsi" w:hAnsiTheme="minorHAnsi" w:cstheme="minorHAnsi"/>
          <w:sz w:val="22"/>
          <w:szCs w:val="22"/>
        </w:rPr>
      </w:pPr>
    </w:p>
    <w:p w14:paraId="45EDAC99" w14:textId="52383E75" w:rsidR="00AF0AB3" w:rsidRPr="00343FC2" w:rsidRDefault="00EB7273" w:rsidP="00AF0AB3">
      <w:pPr>
        <w:rPr>
          <w:rFonts w:asciiTheme="minorHAnsi" w:eastAsiaTheme="minorHAnsi" w:hAnsiTheme="minorHAnsi" w:cstheme="minorHAnsi"/>
          <w:b/>
          <w:bCs/>
          <w:sz w:val="22"/>
          <w:szCs w:val="22"/>
        </w:rPr>
      </w:pPr>
      <w:r>
        <w:rPr>
          <w:rFonts w:asciiTheme="minorHAnsi" w:eastAsiaTheme="minorHAnsi" w:hAnsiTheme="minorHAnsi" w:cstheme="minorHAnsi"/>
          <w:b/>
          <w:bCs/>
          <w:sz w:val="22"/>
          <w:szCs w:val="22"/>
        </w:rPr>
        <w:t>T</w:t>
      </w:r>
      <w:r w:rsidR="00473A30">
        <w:rPr>
          <w:rFonts w:asciiTheme="minorHAnsi" w:eastAsiaTheme="minorHAnsi" w:hAnsiTheme="minorHAnsi" w:cstheme="minorHAnsi"/>
          <w:b/>
          <w:bCs/>
          <w:sz w:val="22"/>
          <w:szCs w:val="22"/>
        </w:rPr>
        <w:t>able</w:t>
      </w:r>
      <w:r>
        <w:rPr>
          <w:rFonts w:asciiTheme="minorHAnsi" w:eastAsiaTheme="minorHAnsi" w:hAnsiTheme="minorHAnsi" w:cstheme="minorHAnsi"/>
          <w:b/>
          <w:bCs/>
          <w:sz w:val="22"/>
          <w:szCs w:val="22"/>
        </w:rPr>
        <w:t xml:space="preserve"> A</w:t>
      </w:r>
      <w:r w:rsidR="00A408AC">
        <w:rPr>
          <w:rFonts w:asciiTheme="minorHAnsi" w:eastAsiaTheme="minorHAnsi" w:hAnsiTheme="minorHAnsi" w:cstheme="minorHAnsi"/>
          <w:b/>
          <w:bCs/>
          <w:sz w:val="22"/>
          <w:szCs w:val="22"/>
        </w:rPr>
        <w:t>1</w:t>
      </w:r>
      <w:r>
        <w:rPr>
          <w:rFonts w:asciiTheme="minorHAnsi" w:eastAsiaTheme="minorHAnsi" w:hAnsiTheme="minorHAnsi" w:cstheme="minorHAnsi"/>
          <w:b/>
          <w:bCs/>
          <w:sz w:val="22"/>
          <w:szCs w:val="22"/>
        </w:rPr>
        <w:t>.</w:t>
      </w:r>
      <w:r w:rsidR="00343FC2">
        <w:rPr>
          <w:rFonts w:asciiTheme="minorHAnsi" w:eastAsiaTheme="minorHAnsi" w:hAnsiTheme="minorHAnsi" w:cstheme="minorHAnsi"/>
          <w:b/>
          <w:bCs/>
          <w:sz w:val="22"/>
          <w:szCs w:val="22"/>
        </w:rPr>
        <w:t>1.</w:t>
      </w:r>
      <w:r w:rsidR="001F2222" w:rsidRPr="00343FC2">
        <w:rPr>
          <w:rFonts w:asciiTheme="minorHAnsi" w:eastAsiaTheme="minorHAnsi" w:hAnsiTheme="minorHAnsi" w:cstheme="minorHAnsi"/>
          <w:b/>
          <w:bCs/>
          <w:sz w:val="22"/>
          <w:szCs w:val="22"/>
        </w:rPr>
        <w:t xml:space="preserve"> </w:t>
      </w:r>
      <w:r w:rsidR="006C66F7" w:rsidRPr="00343FC2">
        <w:rPr>
          <w:rFonts w:asciiTheme="minorHAnsi" w:eastAsiaTheme="minorHAnsi" w:hAnsiTheme="minorHAnsi" w:cstheme="minorHAnsi"/>
          <w:b/>
          <w:bCs/>
          <w:sz w:val="22"/>
          <w:szCs w:val="22"/>
        </w:rPr>
        <w:t xml:space="preserve"> </w:t>
      </w:r>
      <w:r w:rsidR="00AF0AB3" w:rsidRPr="00343FC2">
        <w:rPr>
          <w:rFonts w:asciiTheme="minorHAnsi" w:eastAsiaTheme="minorHAnsi" w:hAnsiTheme="minorHAnsi" w:cstheme="minorHAnsi"/>
          <w:b/>
          <w:bCs/>
          <w:sz w:val="22"/>
          <w:szCs w:val="22"/>
        </w:rPr>
        <w:t>Case studies’ Top 200 Retail Ranking and relative scores for each variable</w:t>
      </w:r>
    </w:p>
    <w:p w14:paraId="4A033E67" w14:textId="77777777" w:rsidR="00AF0AB3" w:rsidRPr="00287E10" w:rsidRDefault="00AF0AB3" w:rsidP="00AF0AB3">
      <w:pPr>
        <w:rPr>
          <w:rFonts w:asciiTheme="minorHAnsi" w:eastAsiaTheme="minorHAnsi" w:hAnsiTheme="minorHAnsi" w:cstheme="minorHAnsi"/>
          <w:sz w:val="22"/>
          <w:szCs w:val="22"/>
        </w:rPr>
      </w:pPr>
    </w:p>
    <w:tbl>
      <w:tblPr>
        <w:tblW w:w="5000" w:type="pct"/>
        <w:tblLook w:val="04A0" w:firstRow="1" w:lastRow="0" w:firstColumn="1" w:lastColumn="0" w:noHBand="0" w:noVBand="1"/>
      </w:tblPr>
      <w:tblGrid>
        <w:gridCol w:w="1198"/>
        <w:gridCol w:w="1497"/>
        <w:gridCol w:w="1083"/>
        <w:gridCol w:w="546"/>
        <w:gridCol w:w="546"/>
        <w:gridCol w:w="549"/>
        <w:gridCol w:w="546"/>
        <w:gridCol w:w="546"/>
        <w:gridCol w:w="546"/>
        <w:gridCol w:w="552"/>
        <w:gridCol w:w="546"/>
        <w:gridCol w:w="546"/>
        <w:gridCol w:w="546"/>
        <w:gridCol w:w="546"/>
        <w:gridCol w:w="552"/>
        <w:gridCol w:w="555"/>
        <w:gridCol w:w="549"/>
        <w:gridCol w:w="552"/>
        <w:gridCol w:w="609"/>
        <w:gridCol w:w="619"/>
        <w:gridCol w:w="619"/>
        <w:gridCol w:w="619"/>
        <w:gridCol w:w="619"/>
      </w:tblGrid>
      <w:tr w:rsidR="00AF0AB3" w:rsidRPr="00287E10" w14:paraId="4F0EEE9C" w14:textId="77777777" w:rsidTr="00386BAA">
        <w:trPr>
          <w:trHeight w:val="510"/>
        </w:trPr>
        <w:tc>
          <w:tcPr>
            <w:tcW w:w="397" w:type="pct"/>
            <w:vMerge w:val="restart"/>
            <w:tcBorders>
              <w:top w:val="triple" w:sz="4" w:space="0" w:color="4F81BD" w:themeColor="accent1"/>
              <w:left w:val="triple" w:sz="4" w:space="0" w:color="4F81BD" w:themeColor="accent1"/>
              <w:bottom w:val="single" w:sz="4" w:space="0" w:color="000000"/>
              <w:right w:val="single" w:sz="4" w:space="0" w:color="auto"/>
            </w:tcBorders>
            <w:shd w:val="clear" w:color="auto" w:fill="FFFFFF" w:themeFill="background1"/>
            <w:vAlign w:val="center"/>
            <w:hideMark/>
          </w:tcPr>
          <w:p w14:paraId="797DC091" w14:textId="77777777" w:rsidR="00AF0AB3" w:rsidRPr="00287E10" w:rsidRDefault="00AF0AB3" w:rsidP="00AF0AB3">
            <w:pPr>
              <w:jc w:val="center"/>
              <w:rPr>
                <w:rFonts w:asciiTheme="minorHAnsi" w:hAnsiTheme="minorHAnsi" w:cstheme="minorHAnsi"/>
                <w:b/>
                <w:bCs/>
                <w:sz w:val="20"/>
                <w:szCs w:val="20"/>
              </w:rPr>
            </w:pPr>
            <w:r w:rsidRPr="00287E10">
              <w:rPr>
                <w:rFonts w:asciiTheme="minorHAnsi" w:hAnsiTheme="minorHAnsi" w:cstheme="minorHAnsi"/>
                <w:b/>
                <w:bCs/>
                <w:sz w:val="20"/>
                <w:szCs w:val="20"/>
              </w:rPr>
              <w:t>RANKING</w:t>
            </w:r>
          </w:p>
        </w:tc>
        <w:tc>
          <w:tcPr>
            <w:tcW w:w="496" w:type="pct"/>
            <w:vMerge w:val="restart"/>
            <w:tcBorders>
              <w:top w:val="triple" w:sz="4" w:space="0" w:color="4F81BD" w:themeColor="accent1"/>
              <w:left w:val="single" w:sz="4" w:space="0" w:color="auto"/>
              <w:bottom w:val="single" w:sz="4" w:space="0" w:color="000000"/>
              <w:right w:val="single" w:sz="4" w:space="0" w:color="auto"/>
            </w:tcBorders>
            <w:shd w:val="clear" w:color="auto" w:fill="FFFFFF" w:themeFill="background1"/>
            <w:vAlign w:val="center"/>
            <w:hideMark/>
          </w:tcPr>
          <w:p w14:paraId="685181FF" w14:textId="77777777" w:rsidR="00AF0AB3" w:rsidRPr="00287E10" w:rsidRDefault="00AF0AB3" w:rsidP="00AF0AB3">
            <w:pPr>
              <w:jc w:val="center"/>
              <w:rPr>
                <w:rFonts w:asciiTheme="minorHAnsi" w:hAnsiTheme="minorHAnsi" w:cstheme="minorHAnsi"/>
                <w:b/>
                <w:bCs/>
                <w:sz w:val="20"/>
                <w:szCs w:val="20"/>
              </w:rPr>
            </w:pPr>
            <w:r w:rsidRPr="00287E10">
              <w:rPr>
                <w:rFonts w:asciiTheme="minorHAnsi" w:hAnsiTheme="minorHAnsi" w:cstheme="minorHAnsi"/>
                <w:b/>
                <w:bCs/>
                <w:sz w:val="20"/>
                <w:szCs w:val="20"/>
              </w:rPr>
              <w:t>Town</w:t>
            </w:r>
          </w:p>
        </w:tc>
        <w:tc>
          <w:tcPr>
            <w:tcW w:w="359" w:type="pct"/>
            <w:vMerge w:val="restart"/>
            <w:tcBorders>
              <w:top w:val="triple" w:sz="4" w:space="0" w:color="4F81BD" w:themeColor="accent1"/>
              <w:left w:val="single" w:sz="4" w:space="0" w:color="auto"/>
              <w:bottom w:val="single" w:sz="4" w:space="0" w:color="000000"/>
              <w:right w:val="single" w:sz="4" w:space="0" w:color="auto"/>
            </w:tcBorders>
            <w:shd w:val="clear" w:color="auto" w:fill="FFFFFF" w:themeFill="background1"/>
            <w:vAlign w:val="center"/>
            <w:hideMark/>
          </w:tcPr>
          <w:p w14:paraId="19F4EF47" w14:textId="77777777" w:rsidR="00AF0AB3" w:rsidRPr="00287E10" w:rsidRDefault="00AF0AB3" w:rsidP="00AF0AB3">
            <w:pPr>
              <w:jc w:val="center"/>
              <w:rPr>
                <w:rFonts w:asciiTheme="minorHAnsi" w:hAnsiTheme="minorHAnsi" w:cstheme="minorHAnsi"/>
                <w:b/>
                <w:bCs/>
                <w:sz w:val="20"/>
                <w:szCs w:val="20"/>
              </w:rPr>
            </w:pPr>
            <w:r w:rsidRPr="00287E10">
              <w:rPr>
                <w:rFonts w:asciiTheme="minorHAnsi" w:hAnsiTheme="minorHAnsi" w:cstheme="minorHAnsi"/>
                <w:b/>
                <w:bCs/>
                <w:sz w:val="20"/>
                <w:szCs w:val="20"/>
              </w:rPr>
              <w:t>OVERALL SCORE</w:t>
            </w:r>
          </w:p>
        </w:tc>
        <w:tc>
          <w:tcPr>
            <w:tcW w:w="544" w:type="pct"/>
            <w:gridSpan w:val="3"/>
            <w:tcBorders>
              <w:top w:val="triple" w:sz="4" w:space="0" w:color="4F81BD" w:themeColor="accent1"/>
              <w:left w:val="nil"/>
              <w:bottom w:val="single" w:sz="4" w:space="0" w:color="auto"/>
              <w:right w:val="single" w:sz="4" w:space="0" w:color="auto"/>
            </w:tcBorders>
            <w:shd w:val="clear" w:color="auto" w:fill="FFFFFF" w:themeFill="background1"/>
            <w:vAlign w:val="center"/>
            <w:hideMark/>
          </w:tcPr>
          <w:p w14:paraId="648C2FE3" w14:textId="673533FC" w:rsidR="00AF0AB3" w:rsidRPr="0094532F" w:rsidRDefault="0094532F" w:rsidP="00AF0AB3">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C</w:t>
            </w:r>
            <w:r w:rsidR="00AF0AB3" w:rsidRPr="0094532F">
              <w:rPr>
                <w:rFonts w:asciiTheme="minorHAnsi" w:hAnsiTheme="minorHAnsi" w:cstheme="minorHAnsi"/>
                <w:b/>
                <w:bCs/>
                <w:color w:val="000000"/>
                <w:sz w:val="20"/>
                <w:szCs w:val="20"/>
              </w:rPr>
              <w:t>atchment</w:t>
            </w:r>
          </w:p>
        </w:tc>
        <w:tc>
          <w:tcPr>
            <w:tcW w:w="726" w:type="pct"/>
            <w:gridSpan w:val="4"/>
            <w:tcBorders>
              <w:top w:val="triple" w:sz="4" w:space="0" w:color="4F81BD" w:themeColor="accent1"/>
              <w:left w:val="nil"/>
              <w:bottom w:val="single" w:sz="4" w:space="0" w:color="auto"/>
              <w:right w:val="single" w:sz="4" w:space="0" w:color="auto"/>
            </w:tcBorders>
            <w:shd w:val="clear" w:color="auto" w:fill="FFFFFF" w:themeFill="background1"/>
            <w:vAlign w:val="center"/>
            <w:hideMark/>
          </w:tcPr>
          <w:p w14:paraId="71160109" w14:textId="5E1BA5E9" w:rsidR="00AF0AB3" w:rsidRPr="0094532F" w:rsidRDefault="0094532F" w:rsidP="00AF0AB3">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E</w:t>
            </w:r>
            <w:r w:rsidR="00AF0AB3" w:rsidRPr="0094532F">
              <w:rPr>
                <w:rFonts w:asciiTheme="minorHAnsi" w:hAnsiTheme="minorHAnsi" w:cstheme="minorHAnsi"/>
                <w:b/>
                <w:bCs/>
                <w:color w:val="000000"/>
                <w:sz w:val="20"/>
                <w:szCs w:val="20"/>
              </w:rPr>
              <w:t>xpenditure</w:t>
            </w:r>
          </w:p>
        </w:tc>
        <w:tc>
          <w:tcPr>
            <w:tcW w:w="907" w:type="pct"/>
            <w:gridSpan w:val="5"/>
            <w:tcBorders>
              <w:top w:val="triple" w:sz="4" w:space="0" w:color="4F81BD" w:themeColor="accent1"/>
              <w:left w:val="nil"/>
              <w:bottom w:val="single" w:sz="4" w:space="0" w:color="auto"/>
              <w:right w:val="single" w:sz="4" w:space="0" w:color="auto"/>
            </w:tcBorders>
            <w:shd w:val="clear" w:color="auto" w:fill="FFFFFF" w:themeFill="background1"/>
            <w:vAlign w:val="center"/>
            <w:hideMark/>
          </w:tcPr>
          <w:p w14:paraId="7432B3D9" w14:textId="79C6AB56" w:rsidR="00AF0AB3" w:rsidRPr="0094532F" w:rsidRDefault="0094532F" w:rsidP="00AF0AB3">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R</w:t>
            </w:r>
            <w:r w:rsidR="00AF0AB3" w:rsidRPr="0094532F">
              <w:rPr>
                <w:rFonts w:asciiTheme="minorHAnsi" w:hAnsiTheme="minorHAnsi" w:cstheme="minorHAnsi"/>
                <w:b/>
                <w:bCs/>
                <w:color w:val="000000"/>
                <w:sz w:val="20"/>
                <w:szCs w:val="20"/>
              </w:rPr>
              <w:t>etail/leisure supply</w:t>
            </w:r>
          </w:p>
        </w:tc>
        <w:tc>
          <w:tcPr>
            <w:tcW w:w="549" w:type="pct"/>
            <w:gridSpan w:val="3"/>
            <w:tcBorders>
              <w:top w:val="triple" w:sz="4" w:space="0" w:color="4F81BD" w:themeColor="accent1"/>
              <w:left w:val="nil"/>
              <w:bottom w:val="single" w:sz="4" w:space="0" w:color="auto"/>
              <w:right w:val="single" w:sz="4" w:space="0" w:color="auto"/>
            </w:tcBorders>
            <w:shd w:val="clear" w:color="auto" w:fill="FFFFFF" w:themeFill="background1"/>
            <w:vAlign w:val="center"/>
            <w:hideMark/>
          </w:tcPr>
          <w:p w14:paraId="582A7627" w14:textId="296CE16C" w:rsidR="00AF0AB3" w:rsidRPr="0094532F" w:rsidRDefault="0094532F" w:rsidP="00AF0AB3">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O</w:t>
            </w:r>
            <w:r w:rsidR="00AF0AB3" w:rsidRPr="0094532F">
              <w:rPr>
                <w:rFonts w:asciiTheme="minorHAnsi" w:hAnsiTheme="minorHAnsi" w:cstheme="minorHAnsi"/>
                <w:b/>
                <w:bCs/>
                <w:color w:val="000000"/>
                <w:sz w:val="20"/>
                <w:szCs w:val="20"/>
              </w:rPr>
              <w:t>ccupational market</w:t>
            </w:r>
          </w:p>
        </w:tc>
        <w:tc>
          <w:tcPr>
            <w:tcW w:w="202" w:type="pct"/>
            <w:tcBorders>
              <w:top w:val="triple" w:sz="4" w:space="0" w:color="4F81BD" w:themeColor="accent1"/>
              <w:left w:val="nil"/>
              <w:bottom w:val="single" w:sz="4" w:space="0" w:color="auto"/>
              <w:right w:val="single" w:sz="4" w:space="0" w:color="auto"/>
            </w:tcBorders>
            <w:shd w:val="clear" w:color="auto" w:fill="FFFFFF" w:themeFill="background1"/>
            <w:vAlign w:val="center"/>
            <w:hideMark/>
          </w:tcPr>
          <w:p w14:paraId="7003ACC7" w14:textId="1D02421A" w:rsidR="00AF0AB3" w:rsidRPr="0094532F" w:rsidRDefault="0094532F" w:rsidP="00AF0AB3">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I</w:t>
            </w:r>
            <w:r w:rsidR="00AF0AB3" w:rsidRPr="0094532F">
              <w:rPr>
                <w:rFonts w:asciiTheme="minorHAnsi" w:hAnsiTheme="minorHAnsi" w:cstheme="minorHAnsi"/>
                <w:b/>
                <w:bCs/>
                <w:color w:val="000000"/>
                <w:sz w:val="20"/>
                <w:szCs w:val="20"/>
              </w:rPr>
              <w:t>nv. mkt</w:t>
            </w:r>
          </w:p>
        </w:tc>
        <w:tc>
          <w:tcPr>
            <w:tcW w:w="820" w:type="pct"/>
            <w:gridSpan w:val="4"/>
            <w:tcBorders>
              <w:top w:val="triple" w:sz="4" w:space="0" w:color="4F81BD" w:themeColor="accent1"/>
              <w:left w:val="nil"/>
              <w:bottom w:val="single" w:sz="4" w:space="0" w:color="auto"/>
              <w:right w:val="triple" w:sz="4" w:space="0" w:color="4F81BD" w:themeColor="accent1"/>
            </w:tcBorders>
            <w:shd w:val="clear" w:color="auto" w:fill="FFFFFF" w:themeFill="background1"/>
            <w:vAlign w:val="center"/>
            <w:hideMark/>
          </w:tcPr>
          <w:p w14:paraId="58083CBC" w14:textId="08022151" w:rsidR="00AF0AB3" w:rsidRPr="0094532F" w:rsidRDefault="0094532F" w:rsidP="00AF0AB3">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C</w:t>
            </w:r>
            <w:r w:rsidR="00AF0AB3" w:rsidRPr="0094532F">
              <w:rPr>
                <w:rFonts w:asciiTheme="minorHAnsi" w:hAnsiTheme="minorHAnsi" w:cstheme="minorHAnsi"/>
                <w:b/>
                <w:bCs/>
                <w:color w:val="000000"/>
                <w:sz w:val="20"/>
                <w:szCs w:val="20"/>
              </w:rPr>
              <w:t>ompetition</w:t>
            </w:r>
          </w:p>
        </w:tc>
      </w:tr>
      <w:tr w:rsidR="00386BAA" w:rsidRPr="00287E10" w14:paraId="45333BCD" w14:textId="77777777" w:rsidTr="00386BAA">
        <w:trPr>
          <w:trHeight w:val="3340"/>
        </w:trPr>
        <w:tc>
          <w:tcPr>
            <w:tcW w:w="397" w:type="pct"/>
            <w:vMerge/>
            <w:tcBorders>
              <w:top w:val="single" w:sz="4" w:space="0" w:color="auto"/>
              <w:left w:val="triple" w:sz="4" w:space="0" w:color="4F81BD" w:themeColor="accent1"/>
              <w:bottom w:val="single" w:sz="4" w:space="0" w:color="000000"/>
              <w:right w:val="single" w:sz="4" w:space="0" w:color="auto"/>
            </w:tcBorders>
            <w:shd w:val="clear" w:color="auto" w:fill="FFFFFF" w:themeFill="background1"/>
            <w:vAlign w:val="center"/>
            <w:hideMark/>
          </w:tcPr>
          <w:p w14:paraId="0AE4A93F" w14:textId="77777777" w:rsidR="00AF0AB3" w:rsidRPr="00287E10" w:rsidRDefault="00AF0AB3" w:rsidP="00AF0AB3">
            <w:pPr>
              <w:rPr>
                <w:rFonts w:asciiTheme="minorHAnsi" w:hAnsiTheme="minorHAnsi" w:cstheme="minorHAnsi"/>
                <w:b/>
                <w:bCs/>
                <w:sz w:val="20"/>
                <w:szCs w:val="20"/>
              </w:rPr>
            </w:pPr>
          </w:p>
        </w:tc>
        <w:tc>
          <w:tcPr>
            <w:tcW w:w="496" w:type="pct"/>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013D8FCF" w14:textId="77777777" w:rsidR="00AF0AB3" w:rsidRPr="00287E10" w:rsidRDefault="00AF0AB3" w:rsidP="00AF0AB3">
            <w:pPr>
              <w:rPr>
                <w:rFonts w:asciiTheme="minorHAnsi" w:hAnsiTheme="minorHAnsi" w:cstheme="minorHAnsi"/>
                <w:b/>
                <w:bCs/>
                <w:sz w:val="20"/>
                <w:szCs w:val="20"/>
              </w:rPr>
            </w:pPr>
          </w:p>
        </w:tc>
        <w:tc>
          <w:tcPr>
            <w:tcW w:w="359" w:type="pct"/>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31C2BB56" w14:textId="77777777" w:rsidR="00AF0AB3" w:rsidRPr="00287E10" w:rsidRDefault="00AF0AB3" w:rsidP="00AF0AB3">
            <w:pPr>
              <w:rPr>
                <w:rFonts w:asciiTheme="minorHAnsi" w:hAnsiTheme="minorHAnsi" w:cstheme="minorHAnsi"/>
                <w:b/>
                <w:bCs/>
                <w:sz w:val="20"/>
                <w:szCs w:val="20"/>
              </w:rPr>
            </w:pPr>
          </w:p>
        </w:tc>
        <w:tc>
          <w:tcPr>
            <w:tcW w:w="181" w:type="pct"/>
            <w:tcBorders>
              <w:top w:val="nil"/>
              <w:left w:val="nil"/>
              <w:bottom w:val="single" w:sz="4" w:space="0" w:color="auto"/>
              <w:right w:val="single" w:sz="4" w:space="0" w:color="auto"/>
            </w:tcBorders>
            <w:shd w:val="clear" w:color="auto" w:fill="FFFFFF" w:themeFill="background1"/>
            <w:textDirection w:val="btLr"/>
            <w:vAlign w:val="center"/>
            <w:hideMark/>
          </w:tcPr>
          <w:p w14:paraId="1699A27F" w14:textId="1404B7E0" w:rsidR="00AF0AB3" w:rsidRPr="00287E10" w:rsidRDefault="00AF0AB3" w:rsidP="00AF0AB3">
            <w:pPr>
              <w:ind w:left="26"/>
              <w:rPr>
                <w:rFonts w:asciiTheme="minorHAnsi" w:hAnsiTheme="minorHAnsi" w:cstheme="minorHAnsi"/>
                <w:b/>
                <w:bCs/>
                <w:sz w:val="20"/>
                <w:szCs w:val="20"/>
              </w:rPr>
            </w:pPr>
            <w:r w:rsidRPr="00287E10">
              <w:rPr>
                <w:rFonts w:asciiTheme="minorHAnsi" w:hAnsiTheme="minorHAnsi" w:cstheme="minorHAnsi"/>
                <w:b/>
                <w:bCs/>
                <w:sz w:val="20"/>
                <w:szCs w:val="20"/>
              </w:rPr>
              <w:t>Score for Catchment Size</w:t>
            </w:r>
          </w:p>
        </w:tc>
        <w:tc>
          <w:tcPr>
            <w:tcW w:w="181" w:type="pct"/>
            <w:tcBorders>
              <w:top w:val="nil"/>
              <w:left w:val="nil"/>
              <w:bottom w:val="single" w:sz="4" w:space="0" w:color="auto"/>
              <w:right w:val="single" w:sz="4" w:space="0" w:color="auto"/>
            </w:tcBorders>
            <w:shd w:val="clear" w:color="auto" w:fill="FFFFFF" w:themeFill="background1"/>
            <w:textDirection w:val="btLr"/>
            <w:vAlign w:val="center"/>
            <w:hideMark/>
          </w:tcPr>
          <w:p w14:paraId="1EFB8F5C" w14:textId="77777777" w:rsidR="00AF0AB3" w:rsidRPr="00287E10" w:rsidRDefault="00AF0AB3" w:rsidP="00AF0AB3">
            <w:pPr>
              <w:ind w:left="26"/>
              <w:rPr>
                <w:rFonts w:asciiTheme="minorHAnsi" w:hAnsiTheme="minorHAnsi" w:cstheme="minorHAnsi"/>
                <w:b/>
                <w:bCs/>
                <w:sz w:val="20"/>
                <w:szCs w:val="20"/>
              </w:rPr>
            </w:pPr>
            <w:r w:rsidRPr="00287E10">
              <w:rPr>
                <w:rFonts w:asciiTheme="minorHAnsi" w:hAnsiTheme="minorHAnsi" w:cstheme="minorHAnsi"/>
                <w:b/>
                <w:bCs/>
                <w:sz w:val="20"/>
                <w:szCs w:val="20"/>
              </w:rPr>
              <w:t>Score for Population Growth*</w:t>
            </w:r>
          </w:p>
        </w:tc>
        <w:tc>
          <w:tcPr>
            <w:tcW w:w="182" w:type="pct"/>
            <w:tcBorders>
              <w:top w:val="nil"/>
              <w:left w:val="nil"/>
              <w:bottom w:val="single" w:sz="4" w:space="0" w:color="auto"/>
              <w:right w:val="single" w:sz="4" w:space="0" w:color="auto"/>
            </w:tcBorders>
            <w:shd w:val="clear" w:color="auto" w:fill="FFFFFF" w:themeFill="background1"/>
            <w:textDirection w:val="btLr"/>
            <w:vAlign w:val="center"/>
            <w:hideMark/>
          </w:tcPr>
          <w:p w14:paraId="33B77482" w14:textId="77777777" w:rsidR="00AF0AB3" w:rsidRPr="00287E10" w:rsidRDefault="00AF0AB3" w:rsidP="00AF0AB3">
            <w:pPr>
              <w:ind w:left="26"/>
              <w:rPr>
                <w:rFonts w:asciiTheme="minorHAnsi" w:hAnsiTheme="minorHAnsi" w:cstheme="minorHAnsi"/>
                <w:b/>
                <w:bCs/>
                <w:sz w:val="20"/>
                <w:szCs w:val="20"/>
              </w:rPr>
            </w:pPr>
            <w:r w:rsidRPr="00287E10">
              <w:rPr>
                <w:rFonts w:asciiTheme="minorHAnsi" w:hAnsiTheme="minorHAnsi" w:cstheme="minorHAnsi"/>
                <w:b/>
                <w:bCs/>
                <w:sz w:val="20"/>
                <w:szCs w:val="20"/>
              </w:rPr>
              <w:t>Score for Affluence Rank</w:t>
            </w:r>
          </w:p>
        </w:tc>
        <w:tc>
          <w:tcPr>
            <w:tcW w:w="181" w:type="pct"/>
            <w:tcBorders>
              <w:top w:val="nil"/>
              <w:left w:val="nil"/>
              <w:bottom w:val="single" w:sz="4" w:space="0" w:color="auto"/>
              <w:right w:val="single" w:sz="4" w:space="0" w:color="auto"/>
            </w:tcBorders>
            <w:shd w:val="clear" w:color="auto" w:fill="FFFFFF" w:themeFill="background1"/>
            <w:textDirection w:val="btLr"/>
            <w:vAlign w:val="center"/>
            <w:hideMark/>
          </w:tcPr>
          <w:p w14:paraId="1FFD6446" w14:textId="77777777" w:rsidR="00AF0AB3" w:rsidRPr="00287E10" w:rsidRDefault="00AF0AB3" w:rsidP="00AF0AB3">
            <w:pPr>
              <w:ind w:left="26"/>
              <w:rPr>
                <w:rFonts w:asciiTheme="minorHAnsi" w:hAnsiTheme="minorHAnsi" w:cstheme="minorHAnsi"/>
                <w:b/>
                <w:bCs/>
                <w:sz w:val="20"/>
                <w:szCs w:val="20"/>
              </w:rPr>
            </w:pPr>
            <w:r w:rsidRPr="00287E10">
              <w:rPr>
                <w:rFonts w:asciiTheme="minorHAnsi" w:hAnsiTheme="minorHAnsi" w:cstheme="minorHAnsi"/>
                <w:b/>
                <w:bCs/>
                <w:sz w:val="20"/>
                <w:szCs w:val="20"/>
              </w:rPr>
              <w:t>Score for In Store Retail Expenditure</w:t>
            </w:r>
          </w:p>
        </w:tc>
        <w:tc>
          <w:tcPr>
            <w:tcW w:w="181" w:type="pct"/>
            <w:tcBorders>
              <w:top w:val="nil"/>
              <w:left w:val="nil"/>
              <w:bottom w:val="single" w:sz="4" w:space="0" w:color="auto"/>
              <w:right w:val="single" w:sz="4" w:space="0" w:color="auto"/>
            </w:tcBorders>
            <w:shd w:val="clear" w:color="auto" w:fill="FFFFFF" w:themeFill="background1"/>
            <w:textDirection w:val="btLr"/>
            <w:vAlign w:val="center"/>
            <w:hideMark/>
          </w:tcPr>
          <w:p w14:paraId="56FCA6BC" w14:textId="77777777" w:rsidR="00AF0AB3" w:rsidRPr="00287E10" w:rsidRDefault="00AF0AB3" w:rsidP="00AF0AB3">
            <w:pPr>
              <w:ind w:left="26"/>
              <w:rPr>
                <w:rFonts w:asciiTheme="minorHAnsi" w:hAnsiTheme="minorHAnsi" w:cstheme="minorHAnsi"/>
                <w:b/>
                <w:bCs/>
                <w:sz w:val="20"/>
                <w:szCs w:val="20"/>
              </w:rPr>
            </w:pPr>
            <w:r w:rsidRPr="00287E10">
              <w:rPr>
                <w:rFonts w:asciiTheme="minorHAnsi" w:hAnsiTheme="minorHAnsi" w:cstheme="minorHAnsi"/>
                <w:b/>
                <w:bCs/>
                <w:sz w:val="20"/>
                <w:szCs w:val="20"/>
              </w:rPr>
              <w:t>Score for Per Capita Spend Rank</w:t>
            </w:r>
          </w:p>
        </w:tc>
        <w:tc>
          <w:tcPr>
            <w:tcW w:w="181" w:type="pct"/>
            <w:tcBorders>
              <w:top w:val="nil"/>
              <w:left w:val="nil"/>
              <w:bottom w:val="single" w:sz="4" w:space="0" w:color="auto"/>
              <w:right w:val="single" w:sz="4" w:space="0" w:color="auto"/>
            </w:tcBorders>
            <w:shd w:val="clear" w:color="auto" w:fill="FFFFFF" w:themeFill="background1"/>
            <w:textDirection w:val="btLr"/>
            <w:vAlign w:val="center"/>
            <w:hideMark/>
          </w:tcPr>
          <w:p w14:paraId="35955F90" w14:textId="77777777" w:rsidR="00AF0AB3" w:rsidRPr="00287E10" w:rsidRDefault="00AF0AB3" w:rsidP="00AF0AB3">
            <w:pPr>
              <w:ind w:left="26"/>
              <w:rPr>
                <w:rFonts w:asciiTheme="minorHAnsi" w:hAnsiTheme="minorHAnsi" w:cstheme="minorHAnsi"/>
                <w:b/>
                <w:bCs/>
                <w:sz w:val="20"/>
                <w:szCs w:val="20"/>
              </w:rPr>
            </w:pPr>
            <w:r w:rsidRPr="00287E10">
              <w:rPr>
                <w:rFonts w:asciiTheme="minorHAnsi" w:hAnsiTheme="minorHAnsi" w:cstheme="minorHAnsi"/>
                <w:b/>
                <w:bCs/>
                <w:sz w:val="20"/>
                <w:szCs w:val="20"/>
              </w:rPr>
              <w:t>Score for Expenditure Growth*</w:t>
            </w:r>
          </w:p>
        </w:tc>
        <w:tc>
          <w:tcPr>
            <w:tcW w:w="183" w:type="pct"/>
            <w:tcBorders>
              <w:top w:val="nil"/>
              <w:left w:val="nil"/>
              <w:bottom w:val="single" w:sz="4" w:space="0" w:color="auto"/>
              <w:right w:val="single" w:sz="4" w:space="0" w:color="auto"/>
            </w:tcBorders>
            <w:shd w:val="clear" w:color="auto" w:fill="FFFFFF" w:themeFill="background1"/>
            <w:textDirection w:val="btLr"/>
            <w:vAlign w:val="center"/>
            <w:hideMark/>
          </w:tcPr>
          <w:p w14:paraId="3E7FF0A1" w14:textId="77777777" w:rsidR="00AF0AB3" w:rsidRPr="00287E10" w:rsidRDefault="00AF0AB3" w:rsidP="00AF0AB3">
            <w:pPr>
              <w:ind w:left="26"/>
              <w:rPr>
                <w:rFonts w:asciiTheme="minorHAnsi" w:hAnsiTheme="minorHAnsi" w:cstheme="minorHAnsi"/>
                <w:b/>
                <w:bCs/>
                <w:sz w:val="20"/>
                <w:szCs w:val="20"/>
              </w:rPr>
            </w:pPr>
            <w:r w:rsidRPr="00287E10">
              <w:rPr>
                <w:rFonts w:asciiTheme="minorHAnsi" w:hAnsiTheme="minorHAnsi" w:cstheme="minorHAnsi"/>
                <w:b/>
                <w:bCs/>
                <w:sz w:val="20"/>
                <w:szCs w:val="20"/>
              </w:rPr>
              <w:t>UK Tourism Score</w:t>
            </w:r>
          </w:p>
        </w:tc>
        <w:tc>
          <w:tcPr>
            <w:tcW w:w="181" w:type="pct"/>
            <w:tcBorders>
              <w:top w:val="nil"/>
              <w:left w:val="nil"/>
              <w:bottom w:val="single" w:sz="4" w:space="0" w:color="auto"/>
              <w:right w:val="single" w:sz="4" w:space="0" w:color="auto"/>
            </w:tcBorders>
            <w:shd w:val="clear" w:color="auto" w:fill="FFFFFF" w:themeFill="background1"/>
            <w:textDirection w:val="btLr"/>
            <w:vAlign w:val="center"/>
            <w:hideMark/>
          </w:tcPr>
          <w:p w14:paraId="4D3F17BF" w14:textId="77777777" w:rsidR="00AF0AB3" w:rsidRPr="00287E10" w:rsidRDefault="00AF0AB3" w:rsidP="00AF0AB3">
            <w:pPr>
              <w:ind w:left="26"/>
              <w:rPr>
                <w:rFonts w:asciiTheme="minorHAnsi" w:hAnsiTheme="minorHAnsi" w:cstheme="minorHAnsi"/>
                <w:b/>
                <w:bCs/>
                <w:sz w:val="20"/>
                <w:szCs w:val="20"/>
              </w:rPr>
            </w:pPr>
            <w:r w:rsidRPr="00287E10">
              <w:rPr>
                <w:rFonts w:asciiTheme="minorHAnsi" w:hAnsiTheme="minorHAnsi" w:cstheme="minorHAnsi"/>
                <w:b/>
                <w:bCs/>
                <w:sz w:val="20"/>
                <w:szCs w:val="20"/>
              </w:rPr>
              <w:t>Retail Provision Rank</w:t>
            </w:r>
          </w:p>
        </w:tc>
        <w:tc>
          <w:tcPr>
            <w:tcW w:w="181" w:type="pct"/>
            <w:tcBorders>
              <w:top w:val="nil"/>
              <w:left w:val="nil"/>
              <w:bottom w:val="single" w:sz="4" w:space="0" w:color="auto"/>
              <w:right w:val="single" w:sz="4" w:space="0" w:color="auto"/>
            </w:tcBorders>
            <w:shd w:val="clear" w:color="auto" w:fill="FFFFFF" w:themeFill="background1"/>
            <w:textDirection w:val="btLr"/>
            <w:vAlign w:val="center"/>
            <w:hideMark/>
          </w:tcPr>
          <w:p w14:paraId="087ECA44" w14:textId="77777777" w:rsidR="00AF0AB3" w:rsidRPr="00287E10" w:rsidRDefault="00AF0AB3" w:rsidP="00AF0AB3">
            <w:pPr>
              <w:ind w:left="26"/>
              <w:rPr>
                <w:rFonts w:asciiTheme="minorHAnsi" w:hAnsiTheme="minorHAnsi" w:cstheme="minorHAnsi"/>
                <w:b/>
                <w:bCs/>
                <w:sz w:val="20"/>
                <w:szCs w:val="20"/>
              </w:rPr>
            </w:pPr>
            <w:r w:rsidRPr="00287E10">
              <w:rPr>
                <w:rFonts w:asciiTheme="minorHAnsi" w:hAnsiTheme="minorHAnsi" w:cstheme="minorHAnsi"/>
                <w:b/>
                <w:bCs/>
                <w:sz w:val="20"/>
                <w:szCs w:val="20"/>
              </w:rPr>
              <w:t>Expenditure to Supply Score*</w:t>
            </w:r>
          </w:p>
        </w:tc>
        <w:tc>
          <w:tcPr>
            <w:tcW w:w="181" w:type="pct"/>
            <w:tcBorders>
              <w:top w:val="nil"/>
              <w:left w:val="nil"/>
              <w:bottom w:val="single" w:sz="4" w:space="0" w:color="auto"/>
              <w:right w:val="single" w:sz="4" w:space="0" w:color="auto"/>
            </w:tcBorders>
            <w:shd w:val="clear" w:color="auto" w:fill="FFFFFF" w:themeFill="background1"/>
            <w:textDirection w:val="btLr"/>
            <w:vAlign w:val="center"/>
            <w:hideMark/>
          </w:tcPr>
          <w:p w14:paraId="032237F2" w14:textId="77777777" w:rsidR="00AF0AB3" w:rsidRPr="00287E10" w:rsidRDefault="00AF0AB3" w:rsidP="00AF0AB3">
            <w:pPr>
              <w:ind w:left="26"/>
              <w:rPr>
                <w:rFonts w:asciiTheme="minorHAnsi" w:hAnsiTheme="minorHAnsi" w:cstheme="minorHAnsi"/>
                <w:b/>
                <w:bCs/>
                <w:sz w:val="20"/>
                <w:szCs w:val="20"/>
              </w:rPr>
            </w:pPr>
            <w:r w:rsidRPr="00287E10">
              <w:rPr>
                <w:rFonts w:asciiTheme="minorHAnsi" w:hAnsiTheme="minorHAnsi" w:cstheme="minorHAnsi"/>
                <w:b/>
                <w:bCs/>
                <w:sz w:val="20"/>
                <w:szCs w:val="20"/>
              </w:rPr>
              <w:t>Retail Mix Rank</w:t>
            </w:r>
          </w:p>
        </w:tc>
        <w:tc>
          <w:tcPr>
            <w:tcW w:w="181" w:type="pct"/>
            <w:tcBorders>
              <w:top w:val="nil"/>
              <w:left w:val="nil"/>
              <w:bottom w:val="single" w:sz="4" w:space="0" w:color="auto"/>
              <w:right w:val="single" w:sz="4" w:space="0" w:color="auto"/>
            </w:tcBorders>
            <w:shd w:val="clear" w:color="auto" w:fill="FFFFFF" w:themeFill="background1"/>
            <w:textDirection w:val="btLr"/>
            <w:vAlign w:val="center"/>
            <w:hideMark/>
          </w:tcPr>
          <w:p w14:paraId="52C8FCF4" w14:textId="77777777" w:rsidR="00AF0AB3" w:rsidRPr="00287E10" w:rsidRDefault="00AF0AB3" w:rsidP="00AF0AB3">
            <w:pPr>
              <w:ind w:left="26"/>
              <w:rPr>
                <w:rFonts w:asciiTheme="minorHAnsi" w:hAnsiTheme="minorHAnsi" w:cstheme="minorHAnsi"/>
                <w:b/>
                <w:bCs/>
                <w:sz w:val="20"/>
                <w:szCs w:val="20"/>
              </w:rPr>
            </w:pPr>
            <w:r w:rsidRPr="00287E10">
              <w:rPr>
                <w:rFonts w:asciiTheme="minorHAnsi" w:hAnsiTheme="minorHAnsi" w:cstheme="minorHAnsi"/>
                <w:b/>
                <w:bCs/>
                <w:sz w:val="20"/>
                <w:szCs w:val="20"/>
              </w:rPr>
              <w:t>F&amp;B Score</w:t>
            </w:r>
          </w:p>
        </w:tc>
        <w:tc>
          <w:tcPr>
            <w:tcW w:w="183" w:type="pct"/>
            <w:tcBorders>
              <w:top w:val="nil"/>
              <w:left w:val="nil"/>
              <w:bottom w:val="single" w:sz="4" w:space="0" w:color="auto"/>
              <w:right w:val="single" w:sz="4" w:space="0" w:color="auto"/>
            </w:tcBorders>
            <w:shd w:val="clear" w:color="auto" w:fill="FFFFFF" w:themeFill="background1"/>
            <w:textDirection w:val="btLr"/>
            <w:vAlign w:val="center"/>
            <w:hideMark/>
          </w:tcPr>
          <w:p w14:paraId="039D05C5" w14:textId="77777777" w:rsidR="00AF0AB3" w:rsidRPr="00287E10" w:rsidRDefault="00AF0AB3" w:rsidP="00AF0AB3">
            <w:pPr>
              <w:ind w:left="26"/>
              <w:rPr>
                <w:rFonts w:asciiTheme="minorHAnsi" w:hAnsiTheme="minorHAnsi" w:cstheme="minorHAnsi"/>
                <w:b/>
                <w:bCs/>
                <w:sz w:val="20"/>
                <w:szCs w:val="20"/>
              </w:rPr>
            </w:pPr>
            <w:r w:rsidRPr="00287E10">
              <w:rPr>
                <w:rFonts w:asciiTheme="minorHAnsi" w:hAnsiTheme="minorHAnsi" w:cstheme="minorHAnsi"/>
                <w:b/>
                <w:bCs/>
                <w:sz w:val="20"/>
                <w:szCs w:val="20"/>
              </w:rPr>
              <w:t>Cinema Score</w:t>
            </w:r>
          </w:p>
        </w:tc>
        <w:tc>
          <w:tcPr>
            <w:tcW w:w="184" w:type="pct"/>
            <w:tcBorders>
              <w:top w:val="nil"/>
              <w:left w:val="nil"/>
              <w:bottom w:val="single" w:sz="4" w:space="0" w:color="auto"/>
              <w:right w:val="single" w:sz="4" w:space="0" w:color="auto"/>
            </w:tcBorders>
            <w:shd w:val="clear" w:color="auto" w:fill="FFFFFF" w:themeFill="background1"/>
            <w:textDirection w:val="btLr"/>
            <w:vAlign w:val="center"/>
            <w:hideMark/>
          </w:tcPr>
          <w:p w14:paraId="39F31AFA" w14:textId="77777777" w:rsidR="00AF0AB3" w:rsidRPr="00287E10" w:rsidRDefault="00AF0AB3" w:rsidP="00AF0AB3">
            <w:pPr>
              <w:ind w:left="26"/>
              <w:rPr>
                <w:rFonts w:asciiTheme="minorHAnsi" w:hAnsiTheme="minorHAnsi" w:cstheme="minorHAnsi"/>
                <w:b/>
                <w:bCs/>
                <w:sz w:val="20"/>
                <w:szCs w:val="20"/>
              </w:rPr>
            </w:pPr>
            <w:r w:rsidRPr="00287E10">
              <w:rPr>
                <w:rFonts w:asciiTheme="minorHAnsi" w:hAnsiTheme="minorHAnsi" w:cstheme="minorHAnsi"/>
                <w:b/>
                <w:bCs/>
                <w:sz w:val="20"/>
                <w:szCs w:val="20"/>
              </w:rPr>
              <w:t>Occupational Demand Score*</w:t>
            </w:r>
          </w:p>
        </w:tc>
        <w:tc>
          <w:tcPr>
            <w:tcW w:w="182" w:type="pct"/>
            <w:tcBorders>
              <w:top w:val="nil"/>
              <w:left w:val="nil"/>
              <w:bottom w:val="single" w:sz="4" w:space="0" w:color="auto"/>
              <w:right w:val="single" w:sz="4" w:space="0" w:color="auto"/>
            </w:tcBorders>
            <w:shd w:val="clear" w:color="auto" w:fill="FFFFFF" w:themeFill="background1"/>
            <w:textDirection w:val="btLr"/>
            <w:vAlign w:val="center"/>
            <w:hideMark/>
          </w:tcPr>
          <w:p w14:paraId="3E5EBC71" w14:textId="77777777" w:rsidR="00AF0AB3" w:rsidRPr="00287E10" w:rsidRDefault="00AF0AB3" w:rsidP="00AF0AB3">
            <w:pPr>
              <w:ind w:left="26"/>
              <w:rPr>
                <w:rFonts w:asciiTheme="minorHAnsi" w:hAnsiTheme="minorHAnsi" w:cstheme="minorHAnsi"/>
                <w:b/>
                <w:bCs/>
                <w:sz w:val="20"/>
                <w:szCs w:val="20"/>
              </w:rPr>
            </w:pPr>
            <w:r w:rsidRPr="00287E10">
              <w:rPr>
                <w:rFonts w:asciiTheme="minorHAnsi" w:hAnsiTheme="minorHAnsi" w:cstheme="minorHAnsi"/>
                <w:b/>
                <w:bCs/>
                <w:sz w:val="20"/>
                <w:szCs w:val="20"/>
              </w:rPr>
              <w:t>Score For Rental Resilience</w:t>
            </w:r>
          </w:p>
        </w:tc>
        <w:tc>
          <w:tcPr>
            <w:tcW w:w="183" w:type="pct"/>
            <w:tcBorders>
              <w:top w:val="nil"/>
              <w:left w:val="nil"/>
              <w:bottom w:val="single" w:sz="4" w:space="0" w:color="auto"/>
              <w:right w:val="single" w:sz="4" w:space="0" w:color="auto"/>
            </w:tcBorders>
            <w:shd w:val="clear" w:color="auto" w:fill="FFFFFF" w:themeFill="background1"/>
            <w:textDirection w:val="btLr"/>
            <w:vAlign w:val="center"/>
            <w:hideMark/>
          </w:tcPr>
          <w:p w14:paraId="537009CD" w14:textId="77777777" w:rsidR="00AF0AB3" w:rsidRPr="00287E10" w:rsidRDefault="00AF0AB3" w:rsidP="00AF0AB3">
            <w:pPr>
              <w:ind w:left="26"/>
              <w:rPr>
                <w:rFonts w:asciiTheme="minorHAnsi" w:hAnsiTheme="minorHAnsi" w:cstheme="minorHAnsi"/>
                <w:b/>
                <w:bCs/>
                <w:sz w:val="20"/>
                <w:szCs w:val="20"/>
              </w:rPr>
            </w:pPr>
            <w:r w:rsidRPr="00287E10">
              <w:rPr>
                <w:rFonts w:asciiTheme="minorHAnsi" w:hAnsiTheme="minorHAnsi" w:cstheme="minorHAnsi"/>
                <w:b/>
                <w:bCs/>
                <w:sz w:val="20"/>
                <w:szCs w:val="20"/>
              </w:rPr>
              <w:t>Score for Rental Growth*</w:t>
            </w:r>
          </w:p>
        </w:tc>
        <w:tc>
          <w:tcPr>
            <w:tcW w:w="202" w:type="pct"/>
            <w:tcBorders>
              <w:top w:val="nil"/>
              <w:left w:val="nil"/>
              <w:bottom w:val="single" w:sz="4" w:space="0" w:color="auto"/>
              <w:right w:val="single" w:sz="4" w:space="0" w:color="auto"/>
            </w:tcBorders>
            <w:shd w:val="clear" w:color="auto" w:fill="FFFFFF" w:themeFill="background1"/>
            <w:textDirection w:val="btLr"/>
            <w:vAlign w:val="center"/>
            <w:hideMark/>
          </w:tcPr>
          <w:p w14:paraId="0C34D3A5" w14:textId="77777777" w:rsidR="00AF0AB3" w:rsidRPr="00287E10" w:rsidRDefault="00AF0AB3" w:rsidP="00AF0AB3">
            <w:pPr>
              <w:ind w:left="26"/>
              <w:rPr>
                <w:rFonts w:asciiTheme="minorHAnsi" w:hAnsiTheme="minorHAnsi" w:cstheme="minorHAnsi"/>
                <w:b/>
                <w:bCs/>
                <w:sz w:val="20"/>
                <w:szCs w:val="20"/>
              </w:rPr>
            </w:pPr>
            <w:r w:rsidRPr="00287E10">
              <w:rPr>
                <w:rFonts w:asciiTheme="minorHAnsi" w:hAnsiTheme="minorHAnsi" w:cstheme="minorHAnsi"/>
                <w:b/>
                <w:bCs/>
                <w:sz w:val="20"/>
                <w:szCs w:val="20"/>
              </w:rPr>
              <w:t>Investment Demand Score*</w:t>
            </w:r>
          </w:p>
        </w:tc>
        <w:tc>
          <w:tcPr>
            <w:tcW w:w="205" w:type="pct"/>
            <w:tcBorders>
              <w:top w:val="nil"/>
              <w:left w:val="nil"/>
              <w:bottom w:val="single" w:sz="4" w:space="0" w:color="auto"/>
              <w:right w:val="single" w:sz="4" w:space="0" w:color="auto"/>
            </w:tcBorders>
            <w:shd w:val="clear" w:color="auto" w:fill="FFFFFF" w:themeFill="background1"/>
            <w:textDirection w:val="btLr"/>
            <w:vAlign w:val="center"/>
            <w:hideMark/>
          </w:tcPr>
          <w:p w14:paraId="61A81012" w14:textId="77777777" w:rsidR="00AF0AB3" w:rsidRPr="00287E10" w:rsidRDefault="00AF0AB3" w:rsidP="00AF0AB3">
            <w:pPr>
              <w:ind w:left="26"/>
              <w:rPr>
                <w:rFonts w:asciiTheme="minorHAnsi" w:hAnsiTheme="minorHAnsi" w:cstheme="minorHAnsi"/>
                <w:b/>
                <w:bCs/>
                <w:sz w:val="20"/>
                <w:szCs w:val="20"/>
              </w:rPr>
            </w:pPr>
            <w:r w:rsidRPr="00287E10">
              <w:rPr>
                <w:rFonts w:asciiTheme="minorHAnsi" w:hAnsiTheme="minorHAnsi" w:cstheme="minorHAnsi"/>
                <w:b/>
                <w:bCs/>
                <w:sz w:val="20"/>
                <w:szCs w:val="20"/>
              </w:rPr>
              <w:t>Score for Competition Rank</w:t>
            </w:r>
          </w:p>
        </w:tc>
        <w:tc>
          <w:tcPr>
            <w:tcW w:w="205" w:type="pct"/>
            <w:tcBorders>
              <w:top w:val="nil"/>
              <w:left w:val="nil"/>
              <w:bottom w:val="single" w:sz="4" w:space="0" w:color="auto"/>
              <w:right w:val="single" w:sz="4" w:space="0" w:color="auto"/>
            </w:tcBorders>
            <w:shd w:val="clear" w:color="auto" w:fill="FFFFFF" w:themeFill="background1"/>
            <w:textDirection w:val="btLr"/>
            <w:vAlign w:val="center"/>
            <w:hideMark/>
          </w:tcPr>
          <w:p w14:paraId="077D660C" w14:textId="77777777" w:rsidR="00AF0AB3" w:rsidRPr="00287E10" w:rsidRDefault="00AF0AB3" w:rsidP="00AF0AB3">
            <w:pPr>
              <w:ind w:left="26"/>
              <w:rPr>
                <w:rFonts w:asciiTheme="minorHAnsi" w:hAnsiTheme="minorHAnsi" w:cstheme="minorHAnsi"/>
                <w:b/>
                <w:bCs/>
                <w:sz w:val="20"/>
                <w:szCs w:val="20"/>
              </w:rPr>
            </w:pPr>
            <w:r w:rsidRPr="00287E10">
              <w:rPr>
                <w:rFonts w:asciiTheme="minorHAnsi" w:hAnsiTheme="minorHAnsi" w:cstheme="minorHAnsi"/>
                <w:b/>
                <w:bCs/>
                <w:sz w:val="20"/>
                <w:szCs w:val="20"/>
              </w:rPr>
              <w:t>OOT Provision Score</w:t>
            </w:r>
          </w:p>
        </w:tc>
        <w:tc>
          <w:tcPr>
            <w:tcW w:w="205" w:type="pct"/>
            <w:tcBorders>
              <w:top w:val="nil"/>
              <w:left w:val="nil"/>
              <w:bottom w:val="single" w:sz="4" w:space="0" w:color="auto"/>
              <w:right w:val="single" w:sz="4" w:space="0" w:color="auto"/>
            </w:tcBorders>
            <w:shd w:val="clear" w:color="auto" w:fill="FFFFFF" w:themeFill="background1"/>
            <w:textDirection w:val="btLr"/>
            <w:vAlign w:val="center"/>
            <w:hideMark/>
          </w:tcPr>
          <w:p w14:paraId="70C09639" w14:textId="77777777" w:rsidR="00AF0AB3" w:rsidRPr="00287E10" w:rsidRDefault="00AF0AB3" w:rsidP="00AF0AB3">
            <w:pPr>
              <w:ind w:left="26"/>
              <w:rPr>
                <w:rFonts w:asciiTheme="minorHAnsi" w:hAnsiTheme="minorHAnsi" w:cstheme="minorHAnsi"/>
                <w:b/>
                <w:bCs/>
                <w:sz w:val="20"/>
                <w:szCs w:val="20"/>
              </w:rPr>
            </w:pPr>
            <w:r w:rsidRPr="00287E10">
              <w:rPr>
                <w:rFonts w:asciiTheme="minorHAnsi" w:hAnsiTheme="minorHAnsi" w:cstheme="minorHAnsi"/>
                <w:b/>
                <w:bCs/>
                <w:sz w:val="20"/>
                <w:szCs w:val="20"/>
              </w:rPr>
              <w:t>Online Spend</w:t>
            </w:r>
          </w:p>
        </w:tc>
        <w:tc>
          <w:tcPr>
            <w:tcW w:w="205" w:type="pct"/>
            <w:tcBorders>
              <w:top w:val="nil"/>
              <w:left w:val="nil"/>
              <w:bottom w:val="single" w:sz="4" w:space="0" w:color="auto"/>
              <w:right w:val="triple" w:sz="4" w:space="0" w:color="4F81BD" w:themeColor="accent1"/>
            </w:tcBorders>
            <w:shd w:val="clear" w:color="auto" w:fill="FFFFFF" w:themeFill="background1"/>
            <w:textDirection w:val="btLr"/>
            <w:vAlign w:val="center"/>
            <w:hideMark/>
          </w:tcPr>
          <w:p w14:paraId="27500DEE" w14:textId="77777777" w:rsidR="00AF0AB3" w:rsidRPr="00287E10" w:rsidRDefault="00AF0AB3" w:rsidP="00AF0AB3">
            <w:pPr>
              <w:ind w:left="26"/>
              <w:rPr>
                <w:rFonts w:asciiTheme="minorHAnsi" w:hAnsiTheme="minorHAnsi" w:cstheme="minorHAnsi"/>
                <w:b/>
                <w:bCs/>
                <w:sz w:val="20"/>
                <w:szCs w:val="20"/>
              </w:rPr>
            </w:pPr>
            <w:r w:rsidRPr="00287E10">
              <w:rPr>
                <w:rFonts w:asciiTheme="minorHAnsi" w:hAnsiTheme="minorHAnsi" w:cstheme="minorHAnsi"/>
                <w:b/>
                <w:bCs/>
                <w:sz w:val="20"/>
                <w:szCs w:val="20"/>
              </w:rPr>
              <w:t>Score for Supply Threat*</w:t>
            </w:r>
          </w:p>
        </w:tc>
      </w:tr>
      <w:tr w:rsidR="00AF0AB3" w:rsidRPr="00287E10" w14:paraId="1EC02F82" w14:textId="77777777" w:rsidTr="0094532F">
        <w:trPr>
          <w:trHeight w:val="300"/>
        </w:trPr>
        <w:tc>
          <w:tcPr>
            <w:tcW w:w="397" w:type="pct"/>
            <w:tcBorders>
              <w:top w:val="nil"/>
              <w:left w:val="triple" w:sz="4" w:space="0" w:color="4F81BD" w:themeColor="accent1"/>
              <w:bottom w:val="single" w:sz="4" w:space="0" w:color="auto"/>
              <w:right w:val="single" w:sz="4" w:space="0" w:color="auto"/>
            </w:tcBorders>
            <w:shd w:val="clear" w:color="auto" w:fill="auto"/>
            <w:vAlign w:val="center"/>
            <w:hideMark/>
          </w:tcPr>
          <w:p w14:paraId="598A073B" w14:textId="77777777" w:rsidR="00AF0AB3" w:rsidRPr="00287E10" w:rsidRDefault="00AF0AB3" w:rsidP="00AF0AB3">
            <w:pPr>
              <w:jc w:val="center"/>
              <w:rPr>
                <w:rFonts w:asciiTheme="minorHAnsi" w:hAnsiTheme="minorHAnsi" w:cstheme="minorHAnsi"/>
                <w:b/>
                <w:bCs/>
                <w:sz w:val="20"/>
                <w:szCs w:val="20"/>
              </w:rPr>
            </w:pPr>
            <w:r w:rsidRPr="00287E10">
              <w:rPr>
                <w:rFonts w:asciiTheme="minorHAnsi" w:hAnsiTheme="minorHAnsi" w:cstheme="minorHAnsi"/>
                <w:b/>
                <w:bCs/>
                <w:sz w:val="20"/>
                <w:szCs w:val="20"/>
              </w:rPr>
              <w:t>12</w:t>
            </w:r>
          </w:p>
        </w:tc>
        <w:tc>
          <w:tcPr>
            <w:tcW w:w="496" w:type="pct"/>
            <w:tcBorders>
              <w:top w:val="nil"/>
              <w:left w:val="nil"/>
              <w:bottom w:val="single" w:sz="4" w:space="0" w:color="auto"/>
              <w:right w:val="single" w:sz="4" w:space="0" w:color="auto"/>
            </w:tcBorders>
            <w:shd w:val="clear" w:color="auto" w:fill="auto"/>
            <w:vAlign w:val="center"/>
            <w:hideMark/>
          </w:tcPr>
          <w:p w14:paraId="1F444185" w14:textId="77777777" w:rsidR="00AF0AB3" w:rsidRPr="00287E10" w:rsidRDefault="00AF0AB3" w:rsidP="00AF0AB3">
            <w:pPr>
              <w:jc w:val="center"/>
              <w:rPr>
                <w:rFonts w:asciiTheme="minorHAnsi" w:hAnsiTheme="minorHAnsi" w:cstheme="minorHAnsi"/>
                <w:b/>
                <w:bCs/>
                <w:sz w:val="20"/>
                <w:szCs w:val="20"/>
              </w:rPr>
            </w:pPr>
            <w:r w:rsidRPr="00287E10">
              <w:rPr>
                <w:rFonts w:asciiTheme="minorHAnsi" w:hAnsiTheme="minorHAnsi" w:cstheme="minorHAnsi"/>
                <w:b/>
                <w:bCs/>
                <w:sz w:val="20"/>
                <w:szCs w:val="20"/>
              </w:rPr>
              <w:t xml:space="preserve">Edinburgh </w:t>
            </w:r>
          </w:p>
        </w:tc>
        <w:tc>
          <w:tcPr>
            <w:tcW w:w="359" w:type="pct"/>
            <w:tcBorders>
              <w:top w:val="nil"/>
              <w:left w:val="nil"/>
              <w:bottom w:val="single" w:sz="4" w:space="0" w:color="auto"/>
              <w:right w:val="single" w:sz="4" w:space="0" w:color="auto"/>
            </w:tcBorders>
            <w:shd w:val="clear" w:color="auto" w:fill="auto"/>
            <w:vAlign w:val="center"/>
            <w:hideMark/>
          </w:tcPr>
          <w:p w14:paraId="1892520D" w14:textId="77777777" w:rsidR="00AF0AB3" w:rsidRPr="00287E10" w:rsidRDefault="00AF0AB3" w:rsidP="00AF0AB3">
            <w:pPr>
              <w:jc w:val="center"/>
              <w:rPr>
                <w:rFonts w:asciiTheme="minorHAnsi" w:hAnsiTheme="minorHAnsi" w:cstheme="minorHAnsi"/>
                <w:b/>
                <w:bCs/>
                <w:sz w:val="20"/>
                <w:szCs w:val="20"/>
              </w:rPr>
            </w:pPr>
            <w:r w:rsidRPr="00287E10">
              <w:rPr>
                <w:rFonts w:asciiTheme="minorHAnsi" w:hAnsiTheme="minorHAnsi" w:cstheme="minorHAnsi"/>
                <w:b/>
                <w:bCs/>
                <w:sz w:val="20"/>
                <w:szCs w:val="20"/>
              </w:rPr>
              <w:t>415</w:t>
            </w:r>
          </w:p>
        </w:tc>
        <w:tc>
          <w:tcPr>
            <w:tcW w:w="181" w:type="pct"/>
            <w:tcBorders>
              <w:top w:val="single" w:sz="4" w:space="0" w:color="auto"/>
              <w:left w:val="single" w:sz="4" w:space="0" w:color="auto"/>
              <w:bottom w:val="single" w:sz="4" w:space="0" w:color="auto"/>
              <w:right w:val="single" w:sz="4" w:space="0" w:color="auto"/>
            </w:tcBorders>
            <w:shd w:val="clear" w:color="000000" w:fill="74C37C"/>
            <w:vAlign w:val="center"/>
            <w:hideMark/>
          </w:tcPr>
          <w:p w14:paraId="4062822E"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19</w:t>
            </w:r>
          </w:p>
        </w:tc>
        <w:tc>
          <w:tcPr>
            <w:tcW w:w="181" w:type="pct"/>
            <w:tcBorders>
              <w:top w:val="single" w:sz="4" w:space="0" w:color="auto"/>
              <w:left w:val="single" w:sz="4" w:space="0" w:color="auto"/>
              <w:bottom w:val="single" w:sz="4" w:space="0" w:color="auto"/>
              <w:right w:val="single" w:sz="4" w:space="0" w:color="auto"/>
            </w:tcBorders>
            <w:shd w:val="clear" w:color="000000" w:fill="D8E082"/>
            <w:vAlign w:val="center"/>
            <w:hideMark/>
          </w:tcPr>
          <w:p w14:paraId="1E29072A"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28</w:t>
            </w:r>
          </w:p>
        </w:tc>
        <w:tc>
          <w:tcPr>
            <w:tcW w:w="182" w:type="pct"/>
            <w:tcBorders>
              <w:top w:val="single" w:sz="4" w:space="0" w:color="auto"/>
              <w:left w:val="single" w:sz="4" w:space="0" w:color="auto"/>
              <w:bottom w:val="single" w:sz="4" w:space="0" w:color="auto"/>
              <w:right w:val="single" w:sz="4" w:space="0" w:color="auto"/>
            </w:tcBorders>
            <w:shd w:val="clear" w:color="000000" w:fill="F7E984"/>
            <w:vAlign w:val="center"/>
            <w:hideMark/>
          </w:tcPr>
          <w:p w14:paraId="270491AE"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11</w:t>
            </w:r>
          </w:p>
        </w:tc>
        <w:tc>
          <w:tcPr>
            <w:tcW w:w="181" w:type="pct"/>
            <w:tcBorders>
              <w:top w:val="single" w:sz="4" w:space="0" w:color="auto"/>
              <w:left w:val="single" w:sz="4" w:space="0" w:color="auto"/>
              <w:bottom w:val="single" w:sz="4" w:space="0" w:color="auto"/>
              <w:right w:val="single" w:sz="4" w:space="0" w:color="auto"/>
            </w:tcBorders>
            <w:shd w:val="clear" w:color="000000" w:fill="63BE7B"/>
            <w:vAlign w:val="center"/>
            <w:hideMark/>
          </w:tcPr>
          <w:p w14:paraId="75557542"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20</w:t>
            </w:r>
          </w:p>
        </w:tc>
        <w:tc>
          <w:tcPr>
            <w:tcW w:w="181" w:type="pct"/>
            <w:tcBorders>
              <w:top w:val="single" w:sz="4" w:space="0" w:color="auto"/>
              <w:left w:val="single" w:sz="4" w:space="0" w:color="auto"/>
              <w:bottom w:val="single" w:sz="4" w:space="0" w:color="auto"/>
              <w:right w:val="single" w:sz="4" w:space="0" w:color="auto"/>
            </w:tcBorders>
            <w:shd w:val="clear" w:color="000000" w:fill="D6E082"/>
            <w:vAlign w:val="center"/>
            <w:hideMark/>
          </w:tcPr>
          <w:p w14:paraId="6A8055E4"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13</w:t>
            </w:r>
          </w:p>
        </w:tc>
        <w:tc>
          <w:tcPr>
            <w:tcW w:w="181" w:type="pct"/>
            <w:tcBorders>
              <w:top w:val="single" w:sz="4" w:space="0" w:color="auto"/>
              <w:left w:val="single" w:sz="4" w:space="0" w:color="auto"/>
              <w:bottom w:val="single" w:sz="4" w:space="0" w:color="auto"/>
              <w:right w:val="single" w:sz="4" w:space="0" w:color="auto"/>
            </w:tcBorders>
            <w:shd w:val="clear" w:color="000000" w:fill="EEE683"/>
            <w:vAlign w:val="center"/>
            <w:hideMark/>
          </w:tcPr>
          <w:p w14:paraId="586C01D7"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24</w:t>
            </w:r>
          </w:p>
        </w:tc>
        <w:tc>
          <w:tcPr>
            <w:tcW w:w="183" w:type="pct"/>
            <w:tcBorders>
              <w:top w:val="single" w:sz="4" w:space="0" w:color="auto"/>
              <w:left w:val="single" w:sz="4" w:space="0" w:color="auto"/>
              <w:bottom w:val="single" w:sz="4" w:space="0" w:color="auto"/>
              <w:right w:val="single" w:sz="4" w:space="0" w:color="auto"/>
            </w:tcBorders>
            <w:shd w:val="clear" w:color="000000" w:fill="63BE7B"/>
            <w:vAlign w:val="center"/>
            <w:hideMark/>
          </w:tcPr>
          <w:p w14:paraId="428F722B"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20</w:t>
            </w:r>
          </w:p>
        </w:tc>
        <w:tc>
          <w:tcPr>
            <w:tcW w:w="181" w:type="pct"/>
            <w:tcBorders>
              <w:top w:val="single" w:sz="4" w:space="0" w:color="auto"/>
              <w:left w:val="single" w:sz="4" w:space="0" w:color="auto"/>
              <w:bottom w:val="single" w:sz="4" w:space="0" w:color="auto"/>
              <w:right w:val="single" w:sz="4" w:space="0" w:color="auto"/>
            </w:tcBorders>
            <w:shd w:val="clear" w:color="000000" w:fill="63BE7B"/>
            <w:vAlign w:val="center"/>
            <w:hideMark/>
          </w:tcPr>
          <w:p w14:paraId="141BA607"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20</w:t>
            </w:r>
          </w:p>
        </w:tc>
        <w:tc>
          <w:tcPr>
            <w:tcW w:w="181" w:type="pct"/>
            <w:tcBorders>
              <w:top w:val="single" w:sz="4" w:space="0" w:color="auto"/>
              <w:left w:val="single" w:sz="4" w:space="0" w:color="auto"/>
              <w:bottom w:val="single" w:sz="4" w:space="0" w:color="auto"/>
              <w:right w:val="single" w:sz="4" w:space="0" w:color="auto"/>
            </w:tcBorders>
            <w:shd w:val="clear" w:color="000000" w:fill="63BE7B"/>
            <w:vAlign w:val="center"/>
            <w:hideMark/>
          </w:tcPr>
          <w:p w14:paraId="03BD1C2F"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40</w:t>
            </w:r>
          </w:p>
        </w:tc>
        <w:tc>
          <w:tcPr>
            <w:tcW w:w="181" w:type="pct"/>
            <w:tcBorders>
              <w:top w:val="single" w:sz="4" w:space="0" w:color="auto"/>
              <w:left w:val="single" w:sz="4" w:space="0" w:color="auto"/>
              <w:bottom w:val="single" w:sz="4" w:space="0" w:color="auto"/>
              <w:right w:val="single" w:sz="4" w:space="0" w:color="auto"/>
            </w:tcBorders>
            <w:shd w:val="clear" w:color="000000" w:fill="63BE7B"/>
            <w:vAlign w:val="center"/>
            <w:hideMark/>
          </w:tcPr>
          <w:p w14:paraId="08EEEF0D"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20</w:t>
            </w:r>
          </w:p>
        </w:tc>
        <w:tc>
          <w:tcPr>
            <w:tcW w:w="181" w:type="pct"/>
            <w:tcBorders>
              <w:top w:val="single" w:sz="4" w:space="0" w:color="auto"/>
              <w:left w:val="single" w:sz="4" w:space="0" w:color="auto"/>
              <w:bottom w:val="single" w:sz="4" w:space="0" w:color="auto"/>
              <w:right w:val="single" w:sz="4" w:space="0" w:color="auto"/>
            </w:tcBorders>
            <w:shd w:val="clear" w:color="000000" w:fill="74C37C"/>
            <w:vAlign w:val="center"/>
            <w:hideMark/>
          </w:tcPr>
          <w:p w14:paraId="51556D22"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19</w:t>
            </w:r>
          </w:p>
        </w:tc>
        <w:tc>
          <w:tcPr>
            <w:tcW w:w="183" w:type="pct"/>
            <w:tcBorders>
              <w:top w:val="single" w:sz="4" w:space="0" w:color="auto"/>
              <w:left w:val="single" w:sz="4" w:space="0" w:color="auto"/>
              <w:bottom w:val="single" w:sz="4" w:space="0" w:color="auto"/>
              <w:right w:val="single" w:sz="4" w:space="0" w:color="auto"/>
            </w:tcBorders>
            <w:shd w:val="clear" w:color="000000" w:fill="75C37C"/>
            <w:vAlign w:val="center"/>
            <w:hideMark/>
          </w:tcPr>
          <w:p w14:paraId="5548A005"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19</w:t>
            </w:r>
          </w:p>
        </w:tc>
        <w:tc>
          <w:tcPr>
            <w:tcW w:w="184" w:type="pct"/>
            <w:tcBorders>
              <w:top w:val="single" w:sz="4" w:space="0" w:color="auto"/>
              <w:left w:val="single" w:sz="4" w:space="0" w:color="auto"/>
              <w:bottom w:val="single" w:sz="4" w:space="0" w:color="auto"/>
              <w:right w:val="single" w:sz="4" w:space="0" w:color="auto"/>
            </w:tcBorders>
            <w:shd w:val="clear" w:color="000000" w:fill="74C37C"/>
            <w:vAlign w:val="center"/>
            <w:hideMark/>
          </w:tcPr>
          <w:p w14:paraId="5E2FC485"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38</w:t>
            </w:r>
          </w:p>
        </w:tc>
        <w:tc>
          <w:tcPr>
            <w:tcW w:w="182" w:type="pct"/>
            <w:tcBorders>
              <w:top w:val="single" w:sz="4" w:space="0" w:color="auto"/>
              <w:left w:val="single" w:sz="4" w:space="0" w:color="auto"/>
              <w:bottom w:val="single" w:sz="4" w:space="0" w:color="auto"/>
              <w:right w:val="single" w:sz="4" w:space="0" w:color="auto"/>
            </w:tcBorders>
            <w:shd w:val="clear" w:color="000000" w:fill="74C37C"/>
            <w:vAlign w:val="center"/>
            <w:hideMark/>
          </w:tcPr>
          <w:p w14:paraId="699300F3"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19</w:t>
            </w:r>
          </w:p>
        </w:tc>
        <w:tc>
          <w:tcPr>
            <w:tcW w:w="183" w:type="pct"/>
            <w:tcBorders>
              <w:top w:val="single" w:sz="4" w:space="0" w:color="auto"/>
              <w:left w:val="single" w:sz="4" w:space="0" w:color="auto"/>
              <w:bottom w:val="single" w:sz="4" w:space="0" w:color="auto"/>
              <w:right w:val="single" w:sz="4" w:space="0" w:color="auto"/>
            </w:tcBorders>
            <w:shd w:val="clear" w:color="000000" w:fill="74C37C"/>
            <w:vAlign w:val="center"/>
            <w:hideMark/>
          </w:tcPr>
          <w:p w14:paraId="479853ED"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38</w:t>
            </w:r>
          </w:p>
        </w:tc>
        <w:tc>
          <w:tcPr>
            <w:tcW w:w="202" w:type="pct"/>
            <w:tcBorders>
              <w:top w:val="single" w:sz="4" w:space="0" w:color="auto"/>
              <w:left w:val="single" w:sz="4" w:space="0" w:color="auto"/>
              <w:bottom w:val="single" w:sz="4" w:space="0" w:color="auto"/>
              <w:right w:val="single" w:sz="4" w:space="0" w:color="auto"/>
            </w:tcBorders>
            <w:shd w:val="clear" w:color="000000" w:fill="63BE7B"/>
            <w:vAlign w:val="center"/>
            <w:hideMark/>
          </w:tcPr>
          <w:p w14:paraId="39D88949"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40</w:t>
            </w:r>
          </w:p>
        </w:tc>
        <w:tc>
          <w:tcPr>
            <w:tcW w:w="205" w:type="pct"/>
            <w:tcBorders>
              <w:top w:val="single" w:sz="4" w:space="0" w:color="auto"/>
              <w:left w:val="single" w:sz="4" w:space="0" w:color="auto"/>
              <w:bottom w:val="single" w:sz="4" w:space="0" w:color="auto"/>
              <w:right w:val="single" w:sz="4" w:space="0" w:color="auto"/>
            </w:tcBorders>
            <w:shd w:val="clear" w:color="000000" w:fill="A5D17F"/>
            <w:vAlign w:val="center"/>
            <w:hideMark/>
          </w:tcPr>
          <w:p w14:paraId="4317755C"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16</w:t>
            </w:r>
          </w:p>
        </w:tc>
        <w:tc>
          <w:tcPr>
            <w:tcW w:w="205" w:type="pct"/>
            <w:tcBorders>
              <w:top w:val="single" w:sz="4" w:space="0" w:color="auto"/>
              <w:left w:val="single" w:sz="4" w:space="0" w:color="auto"/>
              <w:bottom w:val="single" w:sz="4" w:space="0" w:color="auto"/>
              <w:right w:val="single" w:sz="4" w:space="0" w:color="auto"/>
            </w:tcBorders>
            <w:shd w:val="clear" w:color="000000" w:fill="F8696B"/>
            <w:vAlign w:val="center"/>
            <w:hideMark/>
          </w:tcPr>
          <w:p w14:paraId="75FE1AF8"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w:t>
            </w:r>
          </w:p>
        </w:tc>
        <w:tc>
          <w:tcPr>
            <w:tcW w:w="205" w:type="pct"/>
            <w:tcBorders>
              <w:top w:val="single" w:sz="4" w:space="0" w:color="auto"/>
              <w:left w:val="single" w:sz="4" w:space="0" w:color="auto"/>
              <w:bottom w:val="single" w:sz="4" w:space="0" w:color="auto"/>
              <w:right w:val="single" w:sz="4" w:space="0" w:color="auto"/>
            </w:tcBorders>
            <w:shd w:val="clear" w:color="000000" w:fill="F8766D"/>
            <w:vAlign w:val="center"/>
            <w:hideMark/>
          </w:tcPr>
          <w:p w14:paraId="305D800D"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w:t>
            </w:r>
          </w:p>
        </w:tc>
        <w:tc>
          <w:tcPr>
            <w:tcW w:w="205" w:type="pct"/>
            <w:tcBorders>
              <w:top w:val="single" w:sz="4" w:space="0" w:color="auto"/>
              <w:left w:val="single" w:sz="4" w:space="0" w:color="auto"/>
              <w:bottom w:val="single" w:sz="4" w:space="0" w:color="auto"/>
              <w:right w:val="triple" w:sz="4" w:space="0" w:color="4F81BD" w:themeColor="accent1"/>
            </w:tcBorders>
            <w:shd w:val="clear" w:color="000000" w:fill="F8696B"/>
            <w:vAlign w:val="center"/>
            <w:hideMark/>
          </w:tcPr>
          <w:p w14:paraId="0E063231"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8</w:t>
            </w:r>
          </w:p>
        </w:tc>
      </w:tr>
      <w:tr w:rsidR="00AF0AB3" w:rsidRPr="00287E10" w14:paraId="08482F27" w14:textId="77777777" w:rsidTr="0094532F">
        <w:trPr>
          <w:trHeight w:val="300"/>
        </w:trPr>
        <w:tc>
          <w:tcPr>
            <w:tcW w:w="397" w:type="pct"/>
            <w:tcBorders>
              <w:top w:val="nil"/>
              <w:left w:val="triple" w:sz="4" w:space="0" w:color="4F81BD" w:themeColor="accent1"/>
              <w:bottom w:val="single" w:sz="4" w:space="0" w:color="auto"/>
              <w:right w:val="single" w:sz="4" w:space="0" w:color="auto"/>
            </w:tcBorders>
            <w:shd w:val="clear" w:color="auto" w:fill="auto"/>
            <w:vAlign w:val="center"/>
            <w:hideMark/>
          </w:tcPr>
          <w:p w14:paraId="4DEB606C" w14:textId="77777777" w:rsidR="00AF0AB3" w:rsidRPr="00287E10" w:rsidRDefault="00AF0AB3" w:rsidP="00AF0AB3">
            <w:pPr>
              <w:jc w:val="center"/>
              <w:rPr>
                <w:rFonts w:asciiTheme="minorHAnsi" w:hAnsiTheme="minorHAnsi" w:cstheme="minorHAnsi"/>
                <w:b/>
                <w:bCs/>
                <w:sz w:val="20"/>
                <w:szCs w:val="20"/>
              </w:rPr>
            </w:pPr>
            <w:r w:rsidRPr="00287E10">
              <w:rPr>
                <w:rFonts w:asciiTheme="minorHAnsi" w:hAnsiTheme="minorHAnsi" w:cstheme="minorHAnsi"/>
                <w:b/>
                <w:bCs/>
                <w:sz w:val="20"/>
                <w:szCs w:val="20"/>
              </w:rPr>
              <w:t>45</w:t>
            </w:r>
          </w:p>
        </w:tc>
        <w:tc>
          <w:tcPr>
            <w:tcW w:w="496" w:type="pct"/>
            <w:tcBorders>
              <w:top w:val="nil"/>
              <w:left w:val="nil"/>
              <w:bottom w:val="single" w:sz="4" w:space="0" w:color="auto"/>
              <w:right w:val="single" w:sz="4" w:space="0" w:color="auto"/>
            </w:tcBorders>
            <w:shd w:val="clear" w:color="auto" w:fill="auto"/>
            <w:vAlign w:val="center"/>
            <w:hideMark/>
          </w:tcPr>
          <w:p w14:paraId="59DEF30A" w14:textId="77777777" w:rsidR="00AF0AB3" w:rsidRPr="00287E10" w:rsidRDefault="00AF0AB3" w:rsidP="00AF0AB3">
            <w:pPr>
              <w:jc w:val="center"/>
              <w:rPr>
                <w:rFonts w:asciiTheme="minorHAnsi" w:hAnsiTheme="minorHAnsi" w:cstheme="minorHAnsi"/>
                <w:b/>
                <w:bCs/>
                <w:sz w:val="20"/>
                <w:szCs w:val="20"/>
              </w:rPr>
            </w:pPr>
            <w:r w:rsidRPr="00287E10">
              <w:rPr>
                <w:rFonts w:asciiTheme="minorHAnsi" w:hAnsiTheme="minorHAnsi" w:cstheme="minorHAnsi"/>
                <w:b/>
                <w:bCs/>
                <w:sz w:val="20"/>
                <w:szCs w:val="20"/>
              </w:rPr>
              <w:t xml:space="preserve">Glasgow </w:t>
            </w:r>
          </w:p>
        </w:tc>
        <w:tc>
          <w:tcPr>
            <w:tcW w:w="359" w:type="pct"/>
            <w:tcBorders>
              <w:top w:val="nil"/>
              <w:left w:val="nil"/>
              <w:bottom w:val="single" w:sz="4" w:space="0" w:color="auto"/>
              <w:right w:val="single" w:sz="4" w:space="0" w:color="auto"/>
            </w:tcBorders>
            <w:shd w:val="clear" w:color="auto" w:fill="auto"/>
            <w:vAlign w:val="center"/>
            <w:hideMark/>
          </w:tcPr>
          <w:p w14:paraId="591E9E5F" w14:textId="77777777" w:rsidR="00AF0AB3" w:rsidRPr="00287E10" w:rsidRDefault="00AF0AB3" w:rsidP="00AF0AB3">
            <w:pPr>
              <w:jc w:val="center"/>
              <w:rPr>
                <w:rFonts w:asciiTheme="minorHAnsi" w:hAnsiTheme="minorHAnsi" w:cstheme="minorHAnsi"/>
                <w:b/>
                <w:bCs/>
                <w:sz w:val="20"/>
                <w:szCs w:val="20"/>
              </w:rPr>
            </w:pPr>
            <w:r w:rsidRPr="00287E10">
              <w:rPr>
                <w:rFonts w:asciiTheme="minorHAnsi" w:hAnsiTheme="minorHAnsi" w:cstheme="minorHAnsi"/>
                <w:b/>
                <w:bCs/>
                <w:sz w:val="20"/>
                <w:szCs w:val="20"/>
              </w:rPr>
              <w:t>361</w:t>
            </w:r>
          </w:p>
        </w:tc>
        <w:tc>
          <w:tcPr>
            <w:tcW w:w="181" w:type="pct"/>
            <w:tcBorders>
              <w:top w:val="single" w:sz="4" w:space="0" w:color="auto"/>
              <w:left w:val="single" w:sz="4" w:space="0" w:color="auto"/>
              <w:bottom w:val="single" w:sz="4" w:space="0" w:color="auto"/>
              <w:right w:val="single" w:sz="4" w:space="0" w:color="auto"/>
            </w:tcBorders>
            <w:shd w:val="clear" w:color="000000" w:fill="63BE7B"/>
            <w:vAlign w:val="center"/>
            <w:hideMark/>
          </w:tcPr>
          <w:p w14:paraId="06AE9741"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20</w:t>
            </w:r>
          </w:p>
        </w:tc>
        <w:tc>
          <w:tcPr>
            <w:tcW w:w="181" w:type="pct"/>
            <w:tcBorders>
              <w:top w:val="single" w:sz="4" w:space="0" w:color="auto"/>
              <w:left w:val="single" w:sz="4" w:space="0" w:color="auto"/>
              <w:bottom w:val="single" w:sz="4" w:space="0" w:color="auto"/>
              <w:right w:val="single" w:sz="4" w:space="0" w:color="auto"/>
            </w:tcBorders>
            <w:shd w:val="clear" w:color="000000" w:fill="F8746D"/>
            <w:vAlign w:val="center"/>
            <w:hideMark/>
          </w:tcPr>
          <w:p w14:paraId="72ED4BF0"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4</w:t>
            </w:r>
          </w:p>
        </w:tc>
        <w:tc>
          <w:tcPr>
            <w:tcW w:w="182" w:type="pct"/>
            <w:tcBorders>
              <w:top w:val="single" w:sz="4" w:space="0" w:color="auto"/>
              <w:left w:val="single" w:sz="4" w:space="0" w:color="auto"/>
              <w:bottom w:val="single" w:sz="4" w:space="0" w:color="auto"/>
              <w:right w:val="single" w:sz="4" w:space="0" w:color="auto"/>
            </w:tcBorders>
            <w:shd w:val="clear" w:color="000000" w:fill="F8766D"/>
            <w:vAlign w:val="center"/>
            <w:hideMark/>
          </w:tcPr>
          <w:p w14:paraId="1487204A"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w:t>
            </w:r>
          </w:p>
        </w:tc>
        <w:tc>
          <w:tcPr>
            <w:tcW w:w="181" w:type="pct"/>
            <w:tcBorders>
              <w:top w:val="single" w:sz="4" w:space="0" w:color="auto"/>
              <w:left w:val="single" w:sz="4" w:space="0" w:color="auto"/>
              <w:bottom w:val="single" w:sz="4" w:space="0" w:color="auto"/>
              <w:right w:val="single" w:sz="4" w:space="0" w:color="auto"/>
            </w:tcBorders>
            <w:shd w:val="clear" w:color="000000" w:fill="63BE7B"/>
            <w:vAlign w:val="center"/>
            <w:hideMark/>
          </w:tcPr>
          <w:p w14:paraId="1EEE7227"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20</w:t>
            </w:r>
          </w:p>
        </w:tc>
        <w:tc>
          <w:tcPr>
            <w:tcW w:w="181" w:type="pct"/>
            <w:tcBorders>
              <w:top w:val="single" w:sz="4" w:space="0" w:color="auto"/>
              <w:left w:val="single" w:sz="4" w:space="0" w:color="auto"/>
              <w:bottom w:val="single" w:sz="4" w:space="0" w:color="auto"/>
              <w:right w:val="single" w:sz="4" w:space="0" w:color="auto"/>
            </w:tcBorders>
            <w:shd w:val="clear" w:color="000000" w:fill="E7E483"/>
            <w:vAlign w:val="center"/>
            <w:hideMark/>
          </w:tcPr>
          <w:p w14:paraId="3C9E0FA5"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12</w:t>
            </w:r>
          </w:p>
        </w:tc>
        <w:tc>
          <w:tcPr>
            <w:tcW w:w="181" w:type="pct"/>
            <w:tcBorders>
              <w:top w:val="single" w:sz="4" w:space="0" w:color="auto"/>
              <w:left w:val="single" w:sz="4" w:space="0" w:color="auto"/>
              <w:bottom w:val="single" w:sz="4" w:space="0" w:color="auto"/>
              <w:right w:val="single" w:sz="4" w:space="0" w:color="auto"/>
            </w:tcBorders>
            <w:shd w:val="clear" w:color="000000" w:fill="F8696B"/>
            <w:vAlign w:val="center"/>
            <w:hideMark/>
          </w:tcPr>
          <w:p w14:paraId="16CAFFBD"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w:t>
            </w:r>
          </w:p>
        </w:tc>
        <w:tc>
          <w:tcPr>
            <w:tcW w:w="183" w:type="pct"/>
            <w:tcBorders>
              <w:top w:val="single" w:sz="4" w:space="0" w:color="auto"/>
              <w:left w:val="single" w:sz="4" w:space="0" w:color="auto"/>
              <w:bottom w:val="single" w:sz="4" w:space="0" w:color="auto"/>
              <w:right w:val="single" w:sz="4" w:space="0" w:color="auto"/>
            </w:tcBorders>
            <w:shd w:val="clear" w:color="000000" w:fill="63BE7B"/>
            <w:vAlign w:val="center"/>
            <w:hideMark/>
          </w:tcPr>
          <w:p w14:paraId="04C1C47D"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20</w:t>
            </w:r>
          </w:p>
        </w:tc>
        <w:tc>
          <w:tcPr>
            <w:tcW w:w="181" w:type="pct"/>
            <w:tcBorders>
              <w:top w:val="single" w:sz="4" w:space="0" w:color="auto"/>
              <w:left w:val="single" w:sz="4" w:space="0" w:color="auto"/>
              <w:bottom w:val="single" w:sz="4" w:space="0" w:color="auto"/>
              <w:right w:val="single" w:sz="4" w:space="0" w:color="auto"/>
            </w:tcBorders>
            <w:shd w:val="clear" w:color="000000" w:fill="63BE7B"/>
            <w:vAlign w:val="center"/>
            <w:hideMark/>
          </w:tcPr>
          <w:p w14:paraId="189BA62F"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20</w:t>
            </w:r>
          </w:p>
        </w:tc>
        <w:tc>
          <w:tcPr>
            <w:tcW w:w="181" w:type="pct"/>
            <w:tcBorders>
              <w:top w:val="single" w:sz="4" w:space="0" w:color="auto"/>
              <w:left w:val="single" w:sz="4" w:space="0" w:color="auto"/>
              <w:bottom w:val="single" w:sz="4" w:space="0" w:color="auto"/>
              <w:right w:val="single" w:sz="4" w:space="0" w:color="auto"/>
            </w:tcBorders>
            <w:shd w:val="clear" w:color="000000" w:fill="63BE7B"/>
            <w:vAlign w:val="center"/>
            <w:hideMark/>
          </w:tcPr>
          <w:p w14:paraId="26432A73"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40</w:t>
            </w:r>
          </w:p>
        </w:tc>
        <w:tc>
          <w:tcPr>
            <w:tcW w:w="181" w:type="pct"/>
            <w:tcBorders>
              <w:top w:val="single" w:sz="4" w:space="0" w:color="auto"/>
              <w:left w:val="single" w:sz="4" w:space="0" w:color="auto"/>
              <w:bottom w:val="single" w:sz="4" w:space="0" w:color="auto"/>
              <w:right w:val="single" w:sz="4" w:space="0" w:color="auto"/>
            </w:tcBorders>
            <w:shd w:val="clear" w:color="000000" w:fill="74C37C"/>
            <w:vAlign w:val="center"/>
            <w:hideMark/>
          </w:tcPr>
          <w:p w14:paraId="79C03B4A"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19</w:t>
            </w:r>
          </w:p>
        </w:tc>
        <w:tc>
          <w:tcPr>
            <w:tcW w:w="181" w:type="pct"/>
            <w:tcBorders>
              <w:top w:val="single" w:sz="4" w:space="0" w:color="auto"/>
              <w:left w:val="single" w:sz="4" w:space="0" w:color="auto"/>
              <w:bottom w:val="single" w:sz="4" w:space="0" w:color="auto"/>
              <w:right w:val="single" w:sz="4" w:space="0" w:color="auto"/>
            </w:tcBorders>
            <w:shd w:val="clear" w:color="000000" w:fill="74C37C"/>
            <w:vAlign w:val="center"/>
            <w:hideMark/>
          </w:tcPr>
          <w:p w14:paraId="5EAF8AF4"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19</w:t>
            </w:r>
          </w:p>
        </w:tc>
        <w:tc>
          <w:tcPr>
            <w:tcW w:w="183" w:type="pct"/>
            <w:tcBorders>
              <w:top w:val="single" w:sz="4" w:space="0" w:color="auto"/>
              <w:left w:val="single" w:sz="4" w:space="0" w:color="auto"/>
              <w:bottom w:val="single" w:sz="4" w:space="0" w:color="auto"/>
              <w:right w:val="single" w:sz="4" w:space="0" w:color="auto"/>
            </w:tcBorders>
            <w:shd w:val="clear" w:color="000000" w:fill="98CE7F"/>
            <w:vAlign w:val="center"/>
            <w:hideMark/>
          </w:tcPr>
          <w:p w14:paraId="0F72A343"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17</w:t>
            </w:r>
          </w:p>
        </w:tc>
        <w:tc>
          <w:tcPr>
            <w:tcW w:w="184" w:type="pct"/>
            <w:tcBorders>
              <w:top w:val="single" w:sz="4" w:space="0" w:color="auto"/>
              <w:left w:val="single" w:sz="4" w:space="0" w:color="auto"/>
              <w:bottom w:val="single" w:sz="4" w:space="0" w:color="auto"/>
              <w:right w:val="single" w:sz="4" w:space="0" w:color="auto"/>
            </w:tcBorders>
            <w:shd w:val="clear" w:color="000000" w:fill="84C87D"/>
            <w:vAlign w:val="center"/>
            <w:hideMark/>
          </w:tcPr>
          <w:p w14:paraId="3BEDF50A"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36</w:t>
            </w:r>
          </w:p>
        </w:tc>
        <w:tc>
          <w:tcPr>
            <w:tcW w:w="182" w:type="pct"/>
            <w:tcBorders>
              <w:top w:val="single" w:sz="4" w:space="0" w:color="auto"/>
              <w:left w:val="single" w:sz="4" w:space="0" w:color="auto"/>
              <w:bottom w:val="single" w:sz="4" w:space="0" w:color="auto"/>
              <w:right w:val="single" w:sz="4" w:space="0" w:color="auto"/>
            </w:tcBorders>
            <w:shd w:val="clear" w:color="000000" w:fill="63BE7B"/>
            <w:vAlign w:val="center"/>
            <w:hideMark/>
          </w:tcPr>
          <w:p w14:paraId="32DE6736"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20</w:t>
            </w:r>
          </w:p>
        </w:tc>
        <w:tc>
          <w:tcPr>
            <w:tcW w:w="183" w:type="pct"/>
            <w:tcBorders>
              <w:top w:val="single" w:sz="4" w:space="0" w:color="auto"/>
              <w:left w:val="single" w:sz="4" w:space="0" w:color="auto"/>
              <w:bottom w:val="single" w:sz="4" w:space="0" w:color="auto"/>
              <w:right w:val="single" w:sz="4" w:space="0" w:color="auto"/>
            </w:tcBorders>
            <w:shd w:val="clear" w:color="000000" w:fill="95CD7E"/>
            <w:vAlign w:val="center"/>
            <w:hideMark/>
          </w:tcPr>
          <w:p w14:paraId="192A4FA5"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34</w:t>
            </w:r>
          </w:p>
        </w:tc>
        <w:tc>
          <w:tcPr>
            <w:tcW w:w="202" w:type="pct"/>
            <w:tcBorders>
              <w:top w:val="single" w:sz="4" w:space="0" w:color="auto"/>
              <w:left w:val="single" w:sz="4" w:space="0" w:color="auto"/>
              <w:bottom w:val="single" w:sz="4" w:space="0" w:color="auto"/>
              <w:right w:val="single" w:sz="4" w:space="0" w:color="auto"/>
            </w:tcBorders>
            <w:shd w:val="clear" w:color="000000" w:fill="86C97E"/>
            <w:vAlign w:val="center"/>
            <w:hideMark/>
          </w:tcPr>
          <w:p w14:paraId="073E3C4B"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36</w:t>
            </w:r>
          </w:p>
        </w:tc>
        <w:tc>
          <w:tcPr>
            <w:tcW w:w="205" w:type="pct"/>
            <w:tcBorders>
              <w:top w:val="single" w:sz="4" w:space="0" w:color="auto"/>
              <w:left w:val="single" w:sz="4" w:space="0" w:color="auto"/>
              <w:bottom w:val="single" w:sz="4" w:space="0" w:color="auto"/>
              <w:right w:val="single" w:sz="4" w:space="0" w:color="auto"/>
            </w:tcBorders>
            <w:shd w:val="clear" w:color="000000" w:fill="C6DB81"/>
            <w:vAlign w:val="center"/>
            <w:hideMark/>
          </w:tcPr>
          <w:p w14:paraId="799BCA6E"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14</w:t>
            </w:r>
          </w:p>
        </w:tc>
        <w:tc>
          <w:tcPr>
            <w:tcW w:w="205" w:type="pct"/>
            <w:tcBorders>
              <w:top w:val="single" w:sz="4" w:space="0" w:color="auto"/>
              <w:left w:val="single" w:sz="4" w:space="0" w:color="auto"/>
              <w:bottom w:val="single" w:sz="4" w:space="0" w:color="auto"/>
              <w:right w:val="single" w:sz="4" w:space="0" w:color="auto"/>
            </w:tcBorders>
            <w:shd w:val="clear" w:color="000000" w:fill="F8696B"/>
            <w:vAlign w:val="center"/>
            <w:hideMark/>
          </w:tcPr>
          <w:p w14:paraId="68B1DF36"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w:t>
            </w:r>
          </w:p>
        </w:tc>
        <w:tc>
          <w:tcPr>
            <w:tcW w:w="205" w:type="pct"/>
            <w:tcBorders>
              <w:top w:val="single" w:sz="4" w:space="0" w:color="auto"/>
              <w:left w:val="single" w:sz="4" w:space="0" w:color="auto"/>
              <w:bottom w:val="single" w:sz="4" w:space="0" w:color="auto"/>
              <w:right w:val="single" w:sz="4" w:space="0" w:color="auto"/>
            </w:tcBorders>
            <w:shd w:val="clear" w:color="000000" w:fill="F8696B"/>
            <w:vAlign w:val="center"/>
            <w:hideMark/>
          </w:tcPr>
          <w:p w14:paraId="0ACD0133"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w:t>
            </w:r>
          </w:p>
        </w:tc>
        <w:tc>
          <w:tcPr>
            <w:tcW w:w="205" w:type="pct"/>
            <w:tcBorders>
              <w:top w:val="single" w:sz="4" w:space="0" w:color="auto"/>
              <w:left w:val="single" w:sz="4" w:space="0" w:color="auto"/>
              <w:bottom w:val="single" w:sz="4" w:space="0" w:color="auto"/>
              <w:right w:val="triple" w:sz="4" w:space="0" w:color="4F81BD" w:themeColor="accent1"/>
            </w:tcBorders>
            <w:shd w:val="clear" w:color="000000" w:fill="FFEB84"/>
            <w:vAlign w:val="center"/>
            <w:hideMark/>
          </w:tcPr>
          <w:p w14:paraId="75B3A830"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24</w:t>
            </w:r>
          </w:p>
        </w:tc>
      </w:tr>
      <w:tr w:rsidR="00AF0AB3" w:rsidRPr="00287E10" w14:paraId="7821CD60" w14:textId="77777777" w:rsidTr="0094532F">
        <w:trPr>
          <w:trHeight w:val="300"/>
        </w:trPr>
        <w:tc>
          <w:tcPr>
            <w:tcW w:w="397" w:type="pct"/>
            <w:tcBorders>
              <w:top w:val="nil"/>
              <w:left w:val="triple" w:sz="4" w:space="0" w:color="4F81BD" w:themeColor="accent1"/>
              <w:bottom w:val="single" w:sz="4" w:space="0" w:color="auto"/>
              <w:right w:val="single" w:sz="4" w:space="0" w:color="auto"/>
            </w:tcBorders>
            <w:shd w:val="clear" w:color="auto" w:fill="auto"/>
            <w:vAlign w:val="center"/>
            <w:hideMark/>
          </w:tcPr>
          <w:p w14:paraId="5445AC6E" w14:textId="77777777" w:rsidR="00AF0AB3" w:rsidRPr="00287E10" w:rsidRDefault="00AF0AB3" w:rsidP="00AF0AB3">
            <w:pPr>
              <w:jc w:val="center"/>
              <w:rPr>
                <w:rFonts w:asciiTheme="minorHAnsi" w:hAnsiTheme="minorHAnsi" w:cstheme="minorHAnsi"/>
                <w:b/>
                <w:bCs/>
                <w:sz w:val="20"/>
                <w:szCs w:val="20"/>
              </w:rPr>
            </w:pPr>
            <w:r w:rsidRPr="00287E10">
              <w:rPr>
                <w:rFonts w:asciiTheme="minorHAnsi" w:hAnsiTheme="minorHAnsi" w:cstheme="minorHAnsi"/>
                <w:b/>
                <w:bCs/>
                <w:sz w:val="20"/>
                <w:szCs w:val="20"/>
              </w:rPr>
              <w:t>51</w:t>
            </w:r>
          </w:p>
        </w:tc>
        <w:tc>
          <w:tcPr>
            <w:tcW w:w="496" w:type="pct"/>
            <w:tcBorders>
              <w:top w:val="nil"/>
              <w:left w:val="nil"/>
              <w:bottom w:val="single" w:sz="4" w:space="0" w:color="auto"/>
              <w:right w:val="single" w:sz="4" w:space="0" w:color="auto"/>
            </w:tcBorders>
            <w:shd w:val="clear" w:color="auto" w:fill="auto"/>
            <w:vAlign w:val="center"/>
            <w:hideMark/>
          </w:tcPr>
          <w:p w14:paraId="0FF4D9D2" w14:textId="77777777" w:rsidR="00AF0AB3" w:rsidRPr="00287E10" w:rsidRDefault="00AF0AB3" w:rsidP="00AF0AB3">
            <w:pPr>
              <w:jc w:val="center"/>
              <w:rPr>
                <w:rFonts w:asciiTheme="minorHAnsi" w:hAnsiTheme="minorHAnsi" w:cstheme="minorHAnsi"/>
                <w:b/>
                <w:bCs/>
                <w:sz w:val="20"/>
                <w:szCs w:val="20"/>
              </w:rPr>
            </w:pPr>
            <w:r w:rsidRPr="00287E10">
              <w:rPr>
                <w:rFonts w:asciiTheme="minorHAnsi" w:hAnsiTheme="minorHAnsi" w:cstheme="minorHAnsi"/>
                <w:b/>
                <w:bCs/>
                <w:sz w:val="20"/>
                <w:szCs w:val="20"/>
              </w:rPr>
              <w:t xml:space="preserve">Nottingham </w:t>
            </w:r>
          </w:p>
        </w:tc>
        <w:tc>
          <w:tcPr>
            <w:tcW w:w="359" w:type="pct"/>
            <w:tcBorders>
              <w:top w:val="nil"/>
              <w:left w:val="nil"/>
              <w:bottom w:val="single" w:sz="4" w:space="0" w:color="auto"/>
              <w:right w:val="single" w:sz="4" w:space="0" w:color="auto"/>
            </w:tcBorders>
            <w:shd w:val="clear" w:color="auto" w:fill="auto"/>
            <w:vAlign w:val="center"/>
            <w:hideMark/>
          </w:tcPr>
          <w:p w14:paraId="3F55094F" w14:textId="77777777" w:rsidR="00AF0AB3" w:rsidRPr="00287E10" w:rsidRDefault="00AF0AB3" w:rsidP="00AF0AB3">
            <w:pPr>
              <w:jc w:val="center"/>
              <w:rPr>
                <w:rFonts w:asciiTheme="minorHAnsi" w:hAnsiTheme="minorHAnsi" w:cstheme="minorHAnsi"/>
                <w:b/>
                <w:bCs/>
                <w:sz w:val="20"/>
                <w:szCs w:val="20"/>
              </w:rPr>
            </w:pPr>
            <w:r w:rsidRPr="00287E10">
              <w:rPr>
                <w:rFonts w:asciiTheme="minorHAnsi" w:hAnsiTheme="minorHAnsi" w:cstheme="minorHAnsi"/>
                <w:b/>
                <w:bCs/>
                <w:sz w:val="20"/>
                <w:szCs w:val="20"/>
              </w:rPr>
              <w:t>354</w:t>
            </w:r>
          </w:p>
        </w:tc>
        <w:tc>
          <w:tcPr>
            <w:tcW w:w="181" w:type="pct"/>
            <w:tcBorders>
              <w:top w:val="single" w:sz="4" w:space="0" w:color="auto"/>
              <w:left w:val="single" w:sz="4" w:space="0" w:color="auto"/>
              <w:bottom w:val="single" w:sz="4" w:space="0" w:color="auto"/>
              <w:right w:val="single" w:sz="4" w:space="0" w:color="auto"/>
            </w:tcBorders>
            <w:shd w:val="clear" w:color="000000" w:fill="63BE7B"/>
            <w:vAlign w:val="center"/>
            <w:hideMark/>
          </w:tcPr>
          <w:p w14:paraId="3C52E222"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20</w:t>
            </w:r>
          </w:p>
        </w:tc>
        <w:tc>
          <w:tcPr>
            <w:tcW w:w="181" w:type="pct"/>
            <w:tcBorders>
              <w:top w:val="single" w:sz="4" w:space="0" w:color="auto"/>
              <w:left w:val="single" w:sz="4" w:space="0" w:color="auto"/>
              <w:bottom w:val="single" w:sz="4" w:space="0" w:color="auto"/>
              <w:right w:val="single" w:sz="4" w:space="0" w:color="auto"/>
            </w:tcBorders>
            <w:shd w:val="clear" w:color="000000" w:fill="FDC77D"/>
            <w:vAlign w:val="center"/>
            <w:hideMark/>
          </w:tcPr>
          <w:p w14:paraId="52BA024D"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18</w:t>
            </w:r>
          </w:p>
        </w:tc>
        <w:tc>
          <w:tcPr>
            <w:tcW w:w="182" w:type="pct"/>
            <w:tcBorders>
              <w:top w:val="single" w:sz="4" w:space="0" w:color="auto"/>
              <w:left w:val="single" w:sz="4" w:space="0" w:color="auto"/>
              <w:bottom w:val="single" w:sz="4" w:space="0" w:color="auto"/>
              <w:right w:val="single" w:sz="4" w:space="0" w:color="auto"/>
            </w:tcBorders>
            <w:shd w:val="clear" w:color="000000" w:fill="FA9272"/>
            <w:vAlign w:val="center"/>
            <w:hideMark/>
          </w:tcPr>
          <w:p w14:paraId="44F7168B"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4</w:t>
            </w:r>
          </w:p>
        </w:tc>
        <w:tc>
          <w:tcPr>
            <w:tcW w:w="181" w:type="pct"/>
            <w:tcBorders>
              <w:top w:val="single" w:sz="4" w:space="0" w:color="auto"/>
              <w:left w:val="single" w:sz="4" w:space="0" w:color="auto"/>
              <w:bottom w:val="single" w:sz="4" w:space="0" w:color="auto"/>
              <w:right w:val="single" w:sz="4" w:space="0" w:color="auto"/>
            </w:tcBorders>
            <w:shd w:val="clear" w:color="000000" w:fill="63BE7B"/>
            <w:vAlign w:val="center"/>
            <w:hideMark/>
          </w:tcPr>
          <w:p w14:paraId="5628B2C7"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20</w:t>
            </w:r>
          </w:p>
        </w:tc>
        <w:tc>
          <w:tcPr>
            <w:tcW w:w="181" w:type="pct"/>
            <w:tcBorders>
              <w:top w:val="single" w:sz="4" w:space="0" w:color="auto"/>
              <w:left w:val="single" w:sz="4" w:space="0" w:color="auto"/>
              <w:bottom w:val="single" w:sz="4" w:space="0" w:color="auto"/>
              <w:right w:val="single" w:sz="4" w:space="0" w:color="auto"/>
            </w:tcBorders>
            <w:shd w:val="clear" w:color="000000" w:fill="FCBB7A"/>
            <w:vAlign w:val="center"/>
            <w:hideMark/>
          </w:tcPr>
          <w:p w14:paraId="725F65CA"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7</w:t>
            </w:r>
          </w:p>
        </w:tc>
        <w:tc>
          <w:tcPr>
            <w:tcW w:w="181" w:type="pct"/>
            <w:tcBorders>
              <w:top w:val="single" w:sz="4" w:space="0" w:color="auto"/>
              <w:left w:val="single" w:sz="4" w:space="0" w:color="auto"/>
              <w:bottom w:val="single" w:sz="4" w:space="0" w:color="auto"/>
              <w:right w:val="single" w:sz="4" w:space="0" w:color="auto"/>
            </w:tcBorders>
            <w:shd w:val="clear" w:color="000000" w:fill="FA9072"/>
            <w:vAlign w:val="center"/>
            <w:hideMark/>
          </w:tcPr>
          <w:p w14:paraId="50D0ECFE"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8</w:t>
            </w:r>
          </w:p>
        </w:tc>
        <w:tc>
          <w:tcPr>
            <w:tcW w:w="183" w:type="pct"/>
            <w:tcBorders>
              <w:top w:val="single" w:sz="4" w:space="0" w:color="auto"/>
              <w:left w:val="single" w:sz="4" w:space="0" w:color="auto"/>
              <w:bottom w:val="single" w:sz="4" w:space="0" w:color="auto"/>
              <w:right w:val="single" w:sz="4" w:space="0" w:color="auto"/>
            </w:tcBorders>
            <w:shd w:val="clear" w:color="000000" w:fill="74C37C"/>
            <w:vAlign w:val="center"/>
            <w:hideMark/>
          </w:tcPr>
          <w:p w14:paraId="7A20BACA"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19</w:t>
            </w:r>
          </w:p>
        </w:tc>
        <w:tc>
          <w:tcPr>
            <w:tcW w:w="181" w:type="pct"/>
            <w:tcBorders>
              <w:top w:val="single" w:sz="4" w:space="0" w:color="auto"/>
              <w:left w:val="single" w:sz="4" w:space="0" w:color="auto"/>
              <w:bottom w:val="single" w:sz="4" w:space="0" w:color="auto"/>
              <w:right w:val="single" w:sz="4" w:space="0" w:color="auto"/>
            </w:tcBorders>
            <w:shd w:val="clear" w:color="000000" w:fill="63BE7B"/>
            <w:vAlign w:val="center"/>
            <w:hideMark/>
          </w:tcPr>
          <w:p w14:paraId="54AAD483"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20</w:t>
            </w:r>
          </w:p>
        </w:tc>
        <w:tc>
          <w:tcPr>
            <w:tcW w:w="181" w:type="pct"/>
            <w:tcBorders>
              <w:top w:val="single" w:sz="4" w:space="0" w:color="auto"/>
              <w:left w:val="single" w:sz="4" w:space="0" w:color="auto"/>
              <w:bottom w:val="single" w:sz="4" w:space="0" w:color="auto"/>
              <w:right w:val="single" w:sz="4" w:space="0" w:color="auto"/>
            </w:tcBorders>
            <w:shd w:val="clear" w:color="000000" w:fill="B6D680"/>
            <w:vAlign w:val="center"/>
            <w:hideMark/>
          </w:tcPr>
          <w:p w14:paraId="38A78C9E"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30</w:t>
            </w:r>
          </w:p>
        </w:tc>
        <w:tc>
          <w:tcPr>
            <w:tcW w:w="181" w:type="pct"/>
            <w:tcBorders>
              <w:top w:val="single" w:sz="4" w:space="0" w:color="auto"/>
              <w:left w:val="single" w:sz="4" w:space="0" w:color="auto"/>
              <w:bottom w:val="single" w:sz="4" w:space="0" w:color="auto"/>
              <w:right w:val="single" w:sz="4" w:space="0" w:color="auto"/>
            </w:tcBorders>
            <w:shd w:val="clear" w:color="000000" w:fill="84C87D"/>
            <w:vAlign w:val="center"/>
            <w:hideMark/>
          </w:tcPr>
          <w:p w14:paraId="0ECA59E0"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18</w:t>
            </w:r>
          </w:p>
        </w:tc>
        <w:tc>
          <w:tcPr>
            <w:tcW w:w="181" w:type="pct"/>
            <w:tcBorders>
              <w:top w:val="single" w:sz="4" w:space="0" w:color="auto"/>
              <w:left w:val="single" w:sz="4" w:space="0" w:color="auto"/>
              <w:bottom w:val="single" w:sz="4" w:space="0" w:color="auto"/>
              <w:right w:val="single" w:sz="4" w:space="0" w:color="auto"/>
            </w:tcBorders>
            <w:shd w:val="clear" w:color="000000" w:fill="63BE7B"/>
            <w:vAlign w:val="center"/>
            <w:hideMark/>
          </w:tcPr>
          <w:p w14:paraId="03E69D00"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20</w:t>
            </w:r>
          </w:p>
        </w:tc>
        <w:tc>
          <w:tcPr>
            <w:tcW w:w="183" w:type="pct"/>
            <w:tcBorders>
              <w:top w:val="single" w:sz="4" w:space="0" w:color="auto"/>
              <w:left w:val="single" w:sz="4" w:space="0" w:color="auto"/>
              <w:bottom w:val="single" w:sz="4" w:space="0" w:color="auto"/>
              <w:right w:val="single" w:sz="4" w:space="0" w:color="auto"/>
            </w:tcBorders>
            <w:shd w:val="clear" w:color="000000" w:fill="FFEB84"/>
            <w:vAlign w:val="center"/>
            <w:hideMark/>
          </w:tcPr>
          <w:p w14:paraId="4121CC70"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11</w:t>
            </w:r>
          </w:p>
        </w:tc>
        <w:tc>
          <w:tcPr>
            <w:tcW w:w="184" w:type="pct"/>
            <w:tcBorders>
              <w:top w:val="single" w:sz="4" w:space="0" w:color="auto"/>
              <w:left w:val="single" w:sz="4" w:space="0" w:color="auto"/>
              <w:bottom w:val="single" w:sz="4" w:space="0" w:color="auto"/>
              <w:right w:val="single" w:sz="4" w:space="0" w:color="auto"/>
            </w:tcBorders>
            <w:shd w:val="clear" w:color="000000" w:fill="63BE7B"/>
            <w:vAlign w:val="center"/>
            <w:hideMark/>
          </w:tcPr>
          <w:p w14:paraId="48ACAA72"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40</w:t>
            </w:r>
          </w:p>
        </w:tc>
        <w:tc>
          <w:tcPr>
            <w:tcW w:w="182" w:type="pct"/>
            <w:tcBorders>
              <w:top w:val="single" w:sz="4" w:space="0" w:color="auto"/>
              <w:left w:val="single" w:sz="4" w:space="0" w:color="auto"/>
              <w:bottom w:val="single" w:sz="4" w:space="0" w:color="auto"/>
              <w:right w:val="single" w:sz="4" w:space="0" w:color="auto"/>
            </w:tcBorders>
            <w:shd w:val="clear" w:color="000000" w:fill="74C37C"/>
            <w:vAlign w:val="center"/>
            <w:hideMark/>
          </w:tcPr>
          <w:p w14:paraId="2313B560"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19</w:t>
            </w:r>
          </w:p>
        </w:tc>
        <w:tc>
          <w:tcPr>
            <w:tcW w:w="183" w:type="pct"/>
            <w:tcBorders>
              <w:top w:val="single" w:sz="4" w:space="0" w:color="auto"/>
              <w:left w:val="single" w:sz="4" w:space="0" w:color="auto"/>
              <w:bottom w:val="single" w:sz="4" w:space="0" w:color="auto"/>
              <w:right w:val="single" w:sz="4" w:space="0" w:color="auto"/>
            </w:tcBorders>
            <w:shd w:val="clear" w:color="000000" w:fill="84C87D"/>
            <w:vAlign w:val="center"/>
            <w:hideMark/>
          </w:tcPr>
          <w:p w14:paraId="4621F52C"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36</w:t>
            </w:r>
          </w:p>
        </w:tc>
        <w:tc>
          <w:tcPr>
            <w:tcW w:w="202" w:type="pct"/>
            <w:tcBorders>
              <w:top w:val="single" w:sz="4" w:space="0" w:color="auto"/>
              <w:left w:val="single" w:sz="4" w:space="0" w:color="auto"/>
              <w:bottom w:val="single" w:sz="4" w:space="0" w:color="auto"/>
              <w:right w:val="single" w:sz="4" w:space="0" w:color="auto"/>
            </w:tcBorders>
            <w:shd w:val="clear" w:color="000000" w:fill="86C97E"/>
            <w:vAlign w:val="center"/>
            <w:hideMark/>
          </w:tcPr>
          <w:p w14:paraId="1FC775E6"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36</w:t>
            </w:r>
          </w:p>
        </w:tc>
        <w:tc>
          <w:tcPr>
            <w:tcW w:w="205" w:type="pct"/>
            <w:tcBorders>
              <w:top w:val="single" w:sz="4" w:space="0" w:color="auto"/>
              <w:left w:val="single" w:sz="4" w:space="0" w:color="auto"/>
              <w:bottom w:val="single" w:sz="4" w:space="0" w:color="auto"/>
              <w:right w:val="single" w:sz="4" w:space="0" w:color="auto"/>
            </w:tcBorders>
            <w:shd w:val="clear" w:color="000000" w:fill="95CD7E"/>
            <w:vAlign w:val="center"/>
            <w:hideMark/>
          </w:tcPr>
          <w:p w14:paraId="4202B506"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17</w:t>
            </w:r>
          </w:p>
        </w:tc>
        <w:tc>
          <w:tcPr>
            <w:tcW w:w="205" w:type="pct"/>
            <w:tcBorders>
              <w:top w:val="single" w:sz="4" w:space="0" w:color="auto"/>
              <w:left w:val="single" w:sz="4" w:space="0" w:color="auto"/>
              <w:bottom w:val="single" w:sz="4" w:space="0" w:color="auto"/>
              <w:right w:val="single" w:sz="4" w:space="0" w:color="auto"/>
            </w:tcBorders>
            <w:shd w:val="clear" w:color="000000" w:fill="F8766D"/>
            <w:vAlign w:val="center"/>
            <w:hideMark/>
          </w:tcPr>
          <w:p w14:paraId="7CE7710E"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w:t>
            </w:r>
          </w:p>
        </w:tc>
        <w:tc>
          <w:tcPr>
            <w:tcW w:w="205" w:type="pct"/>
            <w:tcBorders>
              <w:top w:val="single" w:sz="4" w:space="0" w:color="auto"/>
              <w:left w:val="single" w:sz="4" w:space="0" w:color="auto"/>
              <w:bottom w:val="single" w:sz="4" w:space="0" w:color="auto"/>
              <w:right w:val="single" w:sz="4" w:space="0" w:color="auto"/>
            </w:tcBorders>
            <w:shd w:val="clear" w:color="000000" w:fill="F8696B"/>
            <w:vAlign w:val="center"/>
            <w:hideMark/>
          </w:tcPr>
          <w:p w14:paraId="55E92A09"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w:t>
            </w:r>
          </w:p>
        </w:tc>
        <w:tc>
          <w:tcPr>
            <w:tcW w:w="205" w:type="pct"/>
            <w:tcBorders>
              <w:top w:val="single" w:sz="4" w:space="0" w:color="auto"/>
              <w:left w:val="single" w:sz="4" w:space="0" w:color="auto"/>
              <w:bottom w:val="single" w:sz="4" w:space="0" w:color="auto"/>
              <w:right w:val="triple" w:sz="4" w:space="0" w:color="4F81BD" w:themeColor="accent1"/>
            </w:tcBorders>
            <w:shd w:val="clear" w:color="000000" w:fill="F8696B"/>
            <w:vAlign w:val="center"/>
            <w:hideMark/>
          </w:tcPr>
          <w:p w14:paraId="6CFE7029"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8</w:t>
            </w:r>
          </w:p>
        </w:tc>
      </w:tr>
      <w:tr w:rsidR="00AF0AB3" w:rsidRPr="00287E10" w14:paraId="74508D4D" w14:textId="77777777" w:rsidTr="0094532F">
        <w:trPr>
          <w:trHeight w:val="300"/>
        </w:trPr>
        <w:tc>
          <w:tcPr>
            <w:tcW w:w="397" w:type="pct"/>
            <w:tcBorders>
              <w:top w:val="nil"/>
              <w:left w:val="triple" w:sz="4" w:space="0" w:color="4F81BD" w:themeColor="accent1"/>
              <w:bottom w:val="single" w:sz="4" w:space="0" w:color="auto"/>
              <w:right w:val="single" w:sz="4" w:space="0" w:color="auto"/>
            </w:tcBorders>
            <w:shd w:val="clear" w:color="auto" w:fill="auto"/>
            <w:vAlign w:val="center"/>
            <w:hideMark/>
          </w:tcPr>
          <w:p w14:paraId="43D0DF13" w14:textId="77777777" w:rsidR="00AF0AB3" w:rsidRPr="00287E10" w:rsidRDefault="00AF0AB3" w:rsidP="00AF0AB3">
            <w:pPr>
              <w:jc w:val="center"/>
              <w:rPr>
                <w:rFonts w:asciiTheme="minorHAnsi" w:hAnsiTheme="minorHAnsi" w:cstheme="minorHAnsi"/>
                <w:b/>
                <w:bCs/>
                <w:sz w:val="20"/>
                <w:szCs w:val="20"/>
              </w:rPr>
            </w:pPr>
            <w:r w:rsidRPr="00287E10">
              <w:rPr>
                <w:rFonts w:asciiTheme="minorHAnsi" w:hAnsiTheme="minorHAnsi" w:cstheme="minorHAnsi"/>
                <w:b/>
                <w:bCs/>
                <w:sz w:val="20"/>
                <w:szCs w:val="20"/>
              </w:rPr>
              <w:t>64</w:t>
            </w:r>
          </w:p>
        </w:tc>
        <w:tc>
          <w:tcPr>
            <w:tcW w:w="496" w:type="pct"/>
            <w:tcBorders>
              <w:top w:val="nil"/>
              <w:left w:val="nil"/>
              <w:bottom w:val="single" w:sz="4" w:space="0" w:color="auto"/>
              <w:right w:val="single" w:sz="4" w:space="0" w:color="auto"/>
            </w:tcBorders>
            <w:shd w:val="clear" w:color="auto" w:fill="auto"/>
            <w:vAlign w:val="center"/>
            <w:hideMark/>
          </w:tcPr>
          <w:p w14:paraId="3F0AB7D7" w14:textId="77777777" w:rsidR="00AF0AB3" w:rsidRPr="00287E10" w:rsidRDefault="00AF0AB3" w:rsidP="00AF0AB3">
            <w:pPr>
              <w:jc w:val="center"/>
              <w:rPr>
                <w:rFonts w:asciiTheme="minorHAnsi" w:hAnsiTheme="minorHAnsi" w:cstheme="minorHAnsi"/>
                <w:b/>
                <w:bCs/>
                <w:sz w:val="20"/>
                <w:szCs w:val="20"/>
              </w:rPr>
            </w:pPr>
            <w:r w:rsidRPr="00287E10">
              <w:rPr>
                <w:rFonts w:asciiTheme="minorHAnsi" w:hAnsiTheme="minorHAnsi" w:cstheme="minorHAnsi"/>
                <w:b/>
                <w:bCs/>
                <w:sz w:val="20"/>
                <w:szCs w:val="20"/>
              </w:rPr>
              <w:t xml:space="preserve">Liverpool </w:t>
            </w:r>
          </w:p>
        </w:tc>
        <w:tc>
          <w:tcPr>
            <w:tcW w:w="359" w:type="pct"/>
            <w:tcBorders>
              <w:top w:val="nil"/>
              <w:left w:val="nil"/>
              <w:bottom w:val="single" w:sz="4" w:space="0" w:color="auto"/>
              <w:right w:val="single" w:sz="4" w:space="0" w:color="auto"/>
            </w:tcBorders>
            <w:shd w:val="clear" w:color="auto" w:fill="auto"/>
            <w:vAlign w:val="center"/>
            <w:hideMark/>
          </w:tcPr>
          <w:p w14:paraId="193B8814" w14:textId="77777777" w:rsidR="00AF0AB3" w:rsidRPr="00287E10" w:rsidRDefault="00AF0AB3" w:rsidP="00AF0AB3">
            <w:pPr>
              <w:jc w:val="center"/>
              <w:rPr>
                <w:rFonts w:asciiTheme="minorHAnsi" w:hAnsiTheme="minorHAnsi" w:cstheme="minorHAnsi"/>
                <w:b/>
                <w:bCs/>
                <w:sz w:val="20"/>
                <w:szCs w:val="20"/>
              </w:rPr>
            </w:pPr>
            <w:r w:rsidRPr="00287E10">
              <w:rPr>
                <w:rFonts w:asciiTheme="minorHAnsi" w:hAnsiTheme="minorHAnsi" w:cstheme="minorHAnsi"/>
                <w:b/>
                <w:bCs/>
                <w:sz w:val="20"/>
                <w:szCs w:val="20"/>
              </w:rPr>
              <w:t>342</w:t>
            </w:r>
          </w:p>
        </w:tc>
        <w:tc>
          <w:tcPr>
            <w:tcW w:w="181" w:type="pct"/>
            <w:tcBorders>
              <w:top w:val="single" w:sz="4" w:space="0" w:color="auto"/>
              <w:left w:val="single" w:sz="4" w:space="0" w:color="auto"/>
              <w:bottom w:val="single" w:sz="4" w:space="0" w:color="auto"/>
              <w:right w:val="single" w:sz="4" w:space="0" w:color="auto"/>
            </w:tcBorders>
            <w:shd w:val="clear" w:color="000000" w:fill="63BE7B"/>
            <w:vAlign w:val="center"/>
            <w:hideMark/>
          </w:tcPr>
          <w:p w14:paraId="1BE019FF"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20</w:t>
            </w:r>
          </w:p>
        </w:tc>
        <w:tc>
          <w:tcPr>
            <w:tcW w:w="181" w:type="pct"/>
            <w:tcBorders>
              <w:top w:val="single" w:sz="4" w:space="0" w:color="auto"/>
              <w:left w:val="single" w:sz="4" w:space="0" w:color="auto"/>
              <w:bottom w:val="single" w:sz="4" w:space="0" w:color="auto"/>
              <w:right w:val="single" w:sz="4" w:space="0" w:color="auto"/>
            </w:tcBorders>
            <w:shd w:val="clear" w:color="000000" w:fill="F8696B"/>
            <w:vAlign w:val="center"/>
            <w:hideMark/>
          </w:tcPr>
          <w:p w14:paraId="7F51FDFC"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w:t>
            </w:r>
          </w:p>
        </w:tc>
        <w:tc>
          <w:tcPr>
            <w:tcW w:w="182" w:type="pct"/>
            <w:tcBorders>
              <w:top w:val="single" w:sz="4" w:space="0" w:color="auto"/>
              <w:left w:val="single" w:sz="4" w:space="0" w:color="auto"/>
              <w:bottom w:val="single" w:sz="4" w:space="0" w:color="auto"/>
              <w:right w:val="single" w:sz="4" w:space="0" w:color="auto"/>
            </w:tcBorders>
            <w:shd w:val="clear" w:color="000000" w:fill="F8696B"/>
            <w:vAlign w:val="center"/>
            <w:hideMark/>
          </w:tcPr>
          <w:p w14:paraId="0789AF27"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w:t>
            </w:r>
          </w:p>
        </w:tc>
        <w:tc>
          <w:tcPr>
            <w:tcW w:w="181" w:type="pct"/>
            <w:tcBorders>
              <w:top w:val="single" w:sz="4" w:space="0" w:color="auto"/>
              <w:left w:val="single" w:sz="4" w:space="0" w:color="auto"/>
              <w:bottom w:val="single" w:sz="4" w:space="0" w:color="auto"/>
              <w:right w:val="single" w:sz="4" w:space="0" w:color="auto"/>
            </w:tcBorders>
            <w:shd w:val="clear" w:color="000000" w:fill="63BE7B"/>
            <w:vAlign w:val="center"/>
            <w:hideMark/>
          </w:tcPr>
          <w:p w14:paraId="48110F5C"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20</w:t>
            </w:r>
          </w:p>
        </w:tc>
        <w:tc>
          <w:tcPr>
            <w:tcW w:w="181" w:type="pct"/>
            <w:tcBorders>
              <w:top w:val="single" w:sz="4" w:space="0" w:color="auto"/>
              <w:left w:val="single" w:sz="4" w:space="0" w:color="auto"/>
              <w:bottom w:val="single" w:sz="4" w:space="0" w:color="auto"/>
              <w:right w:val="single" w:sz="4" w:space="0" w:color="auto"/>
            </w:tcBorders>
            <w:shd w:val="clear" w:color="000000" w:fill="FA9272"/>
            <w:vAlign w:val="center"/>
            <w:hideMark/>
          </w:tcPr>
          <w:p w14:paraId="51870BFF"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4</w:t>
            </w:r>
          </w:p>
        </w:tc>
        <w:tc>
          <w:tcPr>
            <w:tcW w:w="181" w:type="pct"/>
            <w:tcBorders>
              <w:top w:val="single" w:sz="4" w:space="0" w:color="auto"/>
              <w:left w:val="single" w:sz="4" w:space="0" w:color="auto"/>
              <w:bottom w:val="single" w:sz="4" w:space="0" w:color="auto"/>
              <w:right w:val="single" w:sz="4" w:space="0" w:color="auto"/>
            </w:tcBorders>
            <w:shd w:val="clear" w:color="000000" w:fill="F8696B"/>
            <w:vAlign w:val="center"/>
            <w:hideMark/>
          </w:tcPr>
          <w:p w14:paraId="44E40BBB"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w:t>
            </w:r>
          </w:p>
        </w:tc>
        <w:tc>
          <w:tcPr>
            <w:tcW w:w="183" w:type="pct"/>
            <w:tcBorders>
              <w:top w:val="single" w:sz="4" w:space="0" w:color="auto"/>
              <w:left w:val="single" w:sz="4" w:space="0" w:color="auto"/>
              <w:bottom w:val="single" w:sz="4" w:space="0" w:color="auto"/>
              <w:right w:val="single" w:sz="4" w:space="0" w:color="auto"/>
            </w:tcBorders>
            <w:shd w:val="clear" w:color="000000" w:fill="74C37C"/>
            <w:vAlign w:val="center"/>
            <w:hideMark/>
          </w:tcPr>
          <w:p w14:paraId="7BA2D375"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19</w:t>
            </w:r>
          </w:p>
        </w:tc>
        <w:tc>
          <w:tcPr>
            <w:tcW w:w="181" w:type="pct"/>
            <w:tcBorders>
              <w:top w:val="single" w:sz="4" w:space="0" w:color="auto"/>
              <w:left w:val="single" w:sz="4" w:space="0" w:color="auto"/>
              <w:bottom w:val="single" w:sz="4" w:space="0" w:color="auto"/>
              <w:right w:val="single" w:sz="4" w:space="0" w:color="auto"/>
            </w:tcBorders>
            <w:shd w:val="clear" w:color="000000" w:fill="63BE7B"/>
            <w:vAlign w:val="center"/>
            <w:hideMark/>
          </w:tcPr>
          <w:p w14:paraId="30971722"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20</w:t>
            </w:r>
          </w:p>
        </w:tc>
        <w:tc>
          <w:tcPr>
            <w:tcW w:w="181" w:type="pct"/>
            <w:tcBorders>
              <w:top w:val="single" w:sz="4" w:space="0" w:color="auto"/>
              <w:left w:val="single" w:sz="4" w:space="0" w:color="auto"/>
              <w:bottom w:val="single" w:sz="4" w:space="0" w:color="auto"/>
              <w:right w:val="single" w:sz="4" w:space="0" w:color="auto"/>
            </w:tcBorders>
            <w:shd w:val="clear" w:color="000000" w:fill="B6D680"/>
            <w:vAlign w:val="center"/>
            <w:hideMark/>
          </w:tcPr>
          <w:p w14:paraId="2F5F2EEC"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30</w:t>
            </w:r>
          </w:p>
        </w:tc>
        <w:tc>
          <w:tcPr>
            <w:tcW w:w="181" w:type="pct"/>
            <w:tcBorders>
              <w:top w:val="single" w:sz="4" w:space="0" w:color="auto"/>
              <w:left w:val="single" w:sz="4" w:space="0" w:color="auto"/>
              <w:bottom w:val="single" w:sz="4" w:space="0" w:color="auto"/>
              <w:right w:val="single" w:sz="4" w:space="0" w:color="auto"/>
            </w:tcBorders>
            <w:shd w:val="clear" w:color="000000" w:fill="74C37C"/>
            <w:vAlign w:val="center"/>
            <w:hideMark/>
          </w:tcPr>
          <w:p w14:paraId="7197D6B8"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19</w:t>
            </w:r>
          </w:p>
        </w:tc>
        <w:tc>
          <w:tcPr>
            <w:tcW w:w="181" w:type="pct"/>
            <w:tcBorders>
              <w:top w:val="single" w:sz="4" w:space="0" w:color="auto"/>
              <w:left w:val="single" w:sz="4" w:space="0" w:color="auto"/>
              <w:bottom w:val="single" w:sz="4" w:space="0" w:color="auto"/>
              <w:right w:val="single" w:sz="4" w:space="0" w:color="auto"/>
            </w:tcBorders>
            <w:shd w:val="clear" w:color="000000" w:fill="74C37C"/>
            <w:vAlign w:val="center"/>
            <w:hideMark/>
          </w:tcPr>
          <w:p w14:paraId="69153984"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19</w:t>
            </w:r>
          </w:p>
        </w:tc>
        <w:tc>
          <w:tcPr>
            <w:tcW w:w="183" w:type="pct"/>
            <w:tcBorders>
              <w:top w:val="single" w:sz="4" w:space="0" w:color="auto"/>
              <w:left w:val="single" w:sz="4" w:space="0" w:color="auto"/>
              <w:bottom w:val="single" w:sz="4" w:space="0" w:color="auto"/>
              <w:right w:val="single" w:sz="4" w:space="0" w:color="auto"/>
            </w:tcBorders>
            <w:shd w:val="clear" w:color="000000" w:fill="BAD780"/>
            <w:vAlign w:val="center"/>
            <w:hideMark/>
          </w:tcPr>
          <w:p w14:paraId="6E4C73B6"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15</w:t>
            </w:r>
          </w:p>
        </w:tc>
        <w:tc>
          <w:tcPr>
            <w:tcW w:w="184" w:type="pct"/>
            <w:tcBorders>
              <w:top w:val="single" w:sz="4" w:space="0" w:color="auto"/>
              <w:left w:val="single" w:sz="4" w:space="0" w:color="auto"/>
              <w:bottom w:val="single" w:sz="4" w:space="0" w:color="auto"/>
              <w:right w:val="single" w:sz="4" w:space="0" w:color="auto"/>
            </w:tcBorders>
            <w:shd w:val="clear" w:color="000000" w:fill="63BE7B"/>
            <w:vAlign w:val="center"/>
            <w:hideMark/>
          </w:tcPr>
          <w:p w14:paraId="06000981"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40</w:t>
            </w:r>
          </w:p>
        </w:tc>
        <w:tc>
          <w:tcPr>
            <w:tcW w:w="182" w:type="pct"/>
            <w:tcBorders>
              <w:top w:val="single" w:sz="4" w:space="0" w:color="auto"/>
              <w:left w:val="single" w:sz="4" w:space="0" w:color="auto"/>
              <w:bottom w:val="single" w:sz="4" w:space="0" w:color="auto"/>
              <w:right w:val="single" w:sz="4" w:space="0" w:color="auto"/>
            </w:tcBorders>
            <w:shd w:val="clear" w:color="000000" w:fill="C6DB81"/>
            <w:vAlign w:val="center"/>
            <w:hideMark/>
          </w:tcPr>
          <w:p w14:paraId="4A793B0E"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14</w:t>
            </w:r>
          </w:p>
        </w:tc>
        <w:tc>
          <w:tcPr>
            <w:tcW w:w="183" w:type="pct"/>
            <w:tcBorders>
              <w:top w:val="single" w:sz="4" w:space="0" w:color="auto"/>
              <w:left w:val="single" w:sz="4" w:space="0" w:color="auto"/>
              <w:bottom w:val="single" w:sz="4" w:space="0" w:color="auto"/>
              <w:right w:val="single" w:sz="4" w:space="0" w:color="auto"/>
            </w:tcBorders>
            <w:shd w:val="clear" w:color="000000" w:fill="63BE7B"/>
            <w:vAlign w:val="center"/>
            <w:hideMark/>
          </w:tcPr>
          <w:p w14:paraId="27DB73D6"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40</w:t>
            </w:r>
          </w:p>
        </w:tc>
        <w:tc>
          <w:tcPr>
            <w:tcW w:w="202" w:type="pct"/>
            <w:tcBorders>
              <w:top w:val="single" w:sz="4" w:space="0" w:color="auto"/>
              <w:left w:val="single" w:sz="4" w:space="0" w:color="auto"/>
              <w:bottom w:val="single" w:sz="4" w:space="0" w:color="auto"/>
              <w:right w:val="single" w:sz="4" w:space="0" w:color="auto"/>
            </w:tcBorders>
            <w:shd w:val="clear" w:color="000000" w:fill="86C97E"/>
            <w:vAlign w:val="center"/>
            <w:hideMark/>
          </w:tcPr>
          <w:p w14:paraId="28F793DD"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36</w:t>
            </w:r>
          </w:p>
        </w:tc>
        <w:tc>
          <w:tcPr>
            <w:tcW w:w="205" w:type="pct"/>
            <w:tcBorders>
              <w:top w:val="single" w:sz="4" w:space="0" w:color="auto"/>
              <w:left w:val="single" w:sz="4" w:space="0" w:color="auto"/>
              <w:bottom w:val="single" w:sz="4" w:space="0" w:color="auto"/>
              <w:right w:val="single" w:sz="4" w:space="0" w:color="auto"/>
            </w:tcBorders>
            <w:shd w:val="clear" w:color="000000" w:fill="B6D680"/>
            <w:vAlign w:val="center"/>
            <w:hideMark/>
          </w:tcPr>
          <w:p w14:paraId="3CF044D3"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15</w:t>
            </w:r>
          </w:p>
        </w:tc>
        <w:tc>
          <w:tcPr>
            <w:tcW w:w="205" w:type="pct"/>
            <w:tcBorders>
              <w:top w:val="single" w:sz="4" w:space="0" w:color="auto"/>
              <w:left w:val="single" w:sz="4" w:space="0" w:color="auto"/>
              <w:bottom w:val="single" w:sz="4" w:space="0" w:color="auto"/>
              <w:right w:val="single" w:sz="4" w:space="0" w:color="auto"/>
            </w:tcBorders>
            <w:shd w:val="clear" w:color="000000" w:fill="F8696B"/>
            <w:vAlign w:val="center"/>
            <w:hideMark/>
          </w:tcPr>
          <w:p w14:paraId="688D2DB0"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w:t>
            </w:r>
          </w:p>
        </w:tc>
        <w:tc>
          <w:tcPr>
            <w:tcW w:w="205" w:type="pct"/>
            <w:tcBorders>
              <w:top w:val="single" w:sz="4" w:space="0" w:color="auto"/>
              <w:left w:val="single" w:sz="4" w:space="0" w:color="auto"/>
              <w:bottom w:val="single" w:sz="4" w:space="0" w:color="auto"/>
              <w:right w:val="single" w:sz="4" w:space="0" w:color="auto"/>
            </w:tcBorders>
            <w:shd w:val="clear" w:color="000000" w:fill="F8696B"/>
            <w:vAlign w:val="center"/>
            <w:hideMark/>
          </w:tcPr>
          <w:p w14:paraId="0B1EAD61"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w:t>
            </w:r>
          </w:p>
        </w:tc>
        <w:tc>
          <w:tcPr>
            <w:tcW w:w="205" w:type="pct"/>
            <w:tcBorders>
              <w:top w:val="single" w:sz="4" w:space="0" w:color="auto"/>
              <w:left w:val="single" w:sz="4" w:space="0" w:color="auto"/>
              <w:bottom w:val="single" w:sz="4" w:space="0" w:color="auto"/>
              <w:right w:val="triple" w:sz="4" w:space="0" w:color="4F81BD" w:themeColor="accent1"/>
            </w:tcBorders>
            <w:shd w:val="clear" w:color="000000" w:fill="FFEB84"/>
            <w:vAlign w:val="center"/>
            <w:hideMark/>
          </w:tcPr>
          <w:p w14:paraId="32EE200E"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24</w:t>
            </w:r>
          </w:p>
        </w:tc>
      </w:tr>
      <w:tr w:rsidR="00AF0AB3" w:rsidRPr="00287E10" w14:paraId="6E8A2876" w14:textId="77777777" w:rsidTr="0094532F">
        <w:trPr>
          <w:trHeight w:val="300"/>
        </w:trPr>
        <w:tc>
          <w:tcPr>
            <w:tcW w:w="397" w:type="pct"/>
            <w:tcBorders>
              <w:top w:val="nil"/>
              <w:left w:val="triple" w:sz="4" w:space="0" w:color="4F81BD" w:themeColor="accent1"/>
              <w:bottom w:val="triple" w:sz="4" w:space="0" w:color="4F81BD" w:themeColor="accent1"/>
              <w:right w:val="single" w:sz="4" w:space="0" w:color="auto"/>
            </w:tcBorders>
            <w:shd w:val="clear" w:color="auto" w:fill="auto"/>
            <w:vAlign w:val="center"/>
            <w:hideMark/>
          </w:tcPr>
          <w:p w14:paraId="5149C978" w14:textId="77777777" w:rsidR="00AF0AB3" w:rsidRPr="00287E10" w:rsidRDefault="00AF0AB3" w:rsidP="00AF0AB3">
            <w:pPr>
              <w:jc w:val="center"/>
              <w:rPr>
                <w:rFonts w:asciiTheme="minorHAnsi" w:hAnsiTheme="minorHAnsi" w:cstheme="minorHAnsi"/>
                <w:b/>
                <w:bCs/>
                <w:sz w:val="20"/>
                <w:szCs w:val="20"/>
              </w:rPr>
            </w:pPr>
            <w:r w:rsidRPr="00287E10">
              <w:rPr>
                <w:rFonts w:asciiTheme="minorHAnsi" w:hAnsiTheme="minorHAnsi" w:cstheme="minorHAnsi"/>
                <w:b/>
                <w:bCs/>
                <w:sz w:val="20"/>
                <w:szCs w:val="20"/>
              </w:rPr>
              <w:t>132</w:t>
            </w:r>
          </w:p>
        </w:tc>
        <w:tc>
          <w:tcPr>
            <w:tcW w:w="496" w:type="pct"/>
            <w:tcBorders>
              <w:top w:val="nil"/>
              <w:left w:val="nil"/>
              <w:bottom w:val="triple" w:sz="4" w:space="0" w:color="4F81BD" w:themeColor="accent1"/>
              <w:right w:val="single" w:sz="4" w:space="0" w:color="auto"/>
            </w:tcBorders>
            <w:shd w:val="clear" w:color="auto" w:fill="auto"/>
            <w:vAlign w:val="center"/>
            <w:hideMark/>
          </w:tcPr>
          <w:p w14:paraId="16C2DC3C" w14:textId="77777777" w:rsidR="00AF0AB3" w:rsidRPr="00287E10" w:rsidRDefault="00AF0AB3" w:rsidP="00AF0AB3">
            <w:pPr>
              <w:jc w:val="center"/>
              <w:rPr>
                <w:rFonts w:asciiTheme="minorHAnsi" w:hAnsiTheme="minorHAnsi" w:cstheme="minorHAnsi"/>
                <w:b/>
                <w:bCs/>
                <w:sz w:val="20"/>
                <w:szCs w:val="20"/>
              </w:rPr>
            </w:pPr>
            <w:r w:rsidRPr="00287E10">
              <w:rPr>
                <w:rFonts w:asciiTheme="minorHAnsi" w:hAnsiTheme="minorHAnsi" w:cstheme="minorHAnsi"/>
                <w:b/>
                <w:bCs/>
                <w:sz w:val="20"/>
                <w:szCs w:val="20"/>
              </w:rPr>
              <w:t xml:space="preserve">Hull </w:t>
            </w:r>
          </w:p>
        </w:tc>
        <w:tc>
          <w:tcPr>
            <w:tcW w:w="359" w:type="pct"/>
            <w:tcBorders>
              <w:top w:val="nil"/>
              <w:left w:val="nil"/>
              <w:bottom w:val="triple" w:sz="4" w:space="0" w:color="4F81BD" w:themeColor="accent1"/>
              <w:right w:val="single" w:sz="4" w:space="0" w:color="auto"/>
            </w:tcBorders>
            <w:shd w:val="clear" w:color="auto" w:fill="auto"/>
            <w:vAlign w:val="center"/>
            <w:hideMark/>
          </w:tcPr>
          <w:p w14:paraId="4C87A2E4" w14:textId="77777777" w:rsidR="00AF0AB3" w:rsidRPr="00287E10" w:rsidRDefault="00AF0AB3" w:rsidP="00AF0AB3">
            <w:pPr>
              <w:jc w:val="center"/>
              <w:rPr>
                <w:rFonts w:asciiTheme="minorHAnsi" w:hAnsiTheme="minorHAnsi" w:cstheme="minorHAnsi"/>
                <w:b/>
                <w:bCs/>
                <w:sz w:val="20"/>
                <w:szCs w:val="20"/>
              </w:rPr>
            </w:pPr>
            <w:r w:rsidRPr="00287E10">
              <w:rPr>
                <w:rFonts w:asciiTheme="minorHAnsi" w:hAnsiTheme="minorHAnsi" w:cstheme="minorHAnsi"/>
                <w:b/>
                <w:bCs/>
                <w:sz w:val="20"/>
                <w:szCs w:val="20"/>
              </w:rPr>
              <w:t>255</w:t>
            </w:r>
          </w:p>
        </w:tc>
        <w:tc>
          <w:tcPr>
            <w:tcW w:w="181" w:type="pct"/>
            <w:tcBorders>
              <w:top w:val="single" w:sz="4" w:space="0" w:color="auto"/>
              <w:left w:val="single" w:sz="4" w:space="0" w:color="auto"/>
              <w:bottom w:val="triple" w:sz="4" w:space="0" w:color="4F81BD" w:themeColor="accent1"/>
              <w:right w:val="single" w:sz="4" w:space="0" w:color="auto"/>
            </w:tcBorders>
            <w:shd w:val="clear" w:color="000000" w:fill="84C87D"/>
            <w:vAlign w:val="center"/>
            <w:hideMark/>
          </w:tcPr>
          <w:p w14:paraId="0A80EE68"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18</w:t>
            </w:r>
          </w:p>
        </w:tc>
        <w:tc>
          <w:tcPr>
            <w:tcW w:w="181" w:type="pct"/>
            <w:tcBorders>
              <w:top w:val="single" w:sz="4" w:space="0" w:color="auto"/>
              <w:left w:val="single" w:sz="4" w:space="0" w:color="auto"/>
              <w:bottom w:val="triple" w:sz="4" w:space="0" w:color="4F81BD" w:themeColor="accent1"/>
              <w:right w:val="single" w:sz="4" w:space="0" w:color="auto"/>
            </w:tcBorders>
            <w:shd w:val="clear" w:color="000000" w:fill="FBAF78"/>
            <w:vAlign w:val="center"/>
            <w:hideMark/>
          </w:tcPr>
          <w:p w14:paraId="0F46BCA3"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14</w:t>
            </w:r>
          </w:p>
        </w:tc>
        <w:tc>
          <w:tcPr>
            <w:tcW w:w="182" w:type="pct"/>
            <w:tcBorders>
              <w:top w:val="single" w:sz="4" w:space="0" w:color="auto"/>
              <w:left w:val="single" w:sz="4" w:space="0" w:color="auto"/>
              <w:bottom w:val="triple" w:sz="4" w:space="0" w:color="4F81BD" w:themeColor="accent1"/>
              <w:right w:val="single" w:sz="4" w:space="0" w:color="auto"/>
            </w:tcBorders>
            <w:shd w:val="clear" w:color="000000" w:fill="F8696B"/>
            <w:vAlign w:val="center"/>
            <w:hideMark/>
          </w:tcPr>
          <w:p w14:paraId="27BF7D2D"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w:t>
            </w:r>
          </w:p>
        </w:tc>
        <w:tc>
          <w:tcPr>
            <w:tcW w:w="181" w:type="pct"/>
            <w:tcBorders>
              <w:top w:val="single" w:sz="4" w:space="0" w:color="auto"/>
              <w:left w:val="single" w:sz="4" w:space="0" w:color="auto"/>
              <w:bottom w:val="triple" w:sz="4" w:space="0" w:color="4F81BD" w:themeColor="accent1"/>
              <w:right w:val="single" w:sz="4" w:space="0" w:color="auto"/>
            </w:tcBorders>
            <w:shd w:val="clear" w:color="000000" w:fill="95CD7E"/>
            <w:vAlign w:val="center"/>
            <w:hideMark/>
          </w:tcPr>
          <w:p w14:paraId="7831F785"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17</w:t>
            </w:r>
          </w:p>
        </w:tc>
        <w:tc>
          <w:tcPr>
            <w:tcW w:w="181" w:type="pct"/>
            <w:tcBorders>
              <w:top w:val="single" w:sz="4" w:space="0" w:color="auto"/>
              <w:left w:val="single" w:sz="4" w:space="0" w:color="auto"/>
              <w:bottom w:val="triple" w:sz="4" w:space="0" w:color="4F81BD" w:themeColor="accent1"/>
              <w:right w:val="single" w:sz="4" w:space="0" w:color="auto"/>
            </w:tcBorders>
            <w:shd w:val="clear" w:color="000000" w:fill="FA9F75"/>
            <w:vAlign w:val="center"/>
            <w:hideMark/>
          </w:tcPr>
          <w:p w14:paraId="2FF190CB"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5</w:t>
            </w:r>
          </w:p>
        </w:tc>
        <w:tc>
          <w:tcPr>
            <w:tcW w:w="181" w:type="pct"/>
            <w:tcBorders>
              <w:top w:val="single" w:sz="4" w:space="0" w:color="auto"/>
              <w:left w:val="single" w:sz="4" w:space="0" w:color="auto"/>
              <w:bottom w:val="triple" w:sz="4" w:space="0" w:color="4F81BD" w:themeColor="accent1"/>
              <w:right w:val="single" w:sz="4" w:space="0" w:color="auto"/>
            </w:tcBorders>
            <w:shd w:val="clear" w:color="000000" w:fill="F8766D"/>
            <w:vAlign w:val="center"/>
            <w:hideMark/>
          </w:tcPr>
          <w:p w14:paraId="614C8FBD"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4</w:t>
            </w:r>
          </w:p>
        </w:tc>
        <w:tc>
          <w:tcPr>
            <w:tcW w:w="183" w:type="pct"/>
            <w:tcBorders>
              <w:top w:val="single" w:sz="4" w:space="0" w:color="auto"/>
              <w:left w:val="single" w:sz="4" w:space="0" w:color="auto"/>
              <w:bottom w:val="triple" w:sz="4" w:space="0" w:color="4F81BD" w:themeColor="accent1"/>
              <w:right w:val="single" w:sz="4" w:space="0" w:color="auto"/>
            </w:tcBorders>
            <w:shd w:val="clear" w:color="000000" w:fill="C6DB81"/>
            <w:vAlign w:val="center"/>
            <w:hideMark/>
          </w:tcPr>
          <w:p w14:paraId="51333740"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14</w:t>
            </w:r>
          </w:p>
        </w:tc>
        <w:tc>
          <w:tcPr>
            <w:tcW w:w="181" w:type="pct"/>
            <w:tcBorders>
              <w:top w:val="single" w:sz="4" w:space="0" w:color="auto"/>
              <w:left w:val="single" w:sz="4" w:space="0" w:color="auto"/>
              <w:bottom w:val="triple" w:sz="4" w:space="0" w:color="4F81BD" w:themeColor="accent1"/>
              <w:right w:val="single" w:sz="4" w:space="0" w:color="auto"/>
            </w:tcBorders>
            <w:shd w:val="clear" w:color="000000" w:fill="A5D17F"/>
            <w:vAlign w:val="center"/>
            <w:hideMark/>
          </w:tcPr>
          <w:p w14:paraId="34DB7A2D"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16</w:t>
            </w:r>
          </w:p>
        </w:tc>
        <w:tc>
          <w:tcPr>
            <w:tcW w:w="181" w:type="pct"/>
            <w:tcBorders>
              <w:top w:val="single" w:sz="4" w:space="0" w:color="auto"/>
              <w:left w:val="single" w:sz="4" w:space="0" w:color="auto"/>
              <w:bottom w:val="triple" w:sz="4" w:space="0" w:color="4F81BD" w:themeColor="accent1"/>
              <w:right w:val="single" w:sz="4" w:space="0" w:color="auto"/>
            </w:tcBorders>
            <w:shd w:val="clear" w:color="000000" w:fill="F7E984"/>
            <w:vAlign w:val="center"/>
            <w:hideMark/>
          </w:tcPr>
          <w:p w14:paraId="62EAE7B6"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22</w:t>
            </w:r>
          </w:p>
        </w:tc>
        <w:tc>
          <w:tcPr>
            <w:tcW w:w="181" w:type="pct"/>
            <w:tcBorders>
              <w:top w:val="single" w:sz="4" w:space="0" w:color="auto"/>
              <w:left w:val="single" w:sz="4" w:space="0" w:color="auto"/>
              <w:bottom w:val="triple" w:sz="4" w:space="0" w:color="4F81BD" w:themeColor="accent1"/>
              <w:right w:val="single" w:sz="4" w:space="0" w:color="auto"/>
            </w:tcBorders>
            <w:shd w:val="clear" w:color="000000" w:fill="E7E483"/>
            <w:vAlign w:val="center"/>
            <w:hideMark/>
          </w:tcPr>
          <w:p w14:paraId="68C82960"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12</w:t>
            </w:r>
          </w:p>
        </w:tc>
        <w:tc>
          <w:tcPr>
            <w:tcW w:w="181" w:type="pct"/>
            <w:tcBorders>
              <w:top w:val="single" w:sz="4" w:space="0" w:color="auto"/>
              <w:left w:val="single" w:sz="4" w:space="0" w:color="auto"/>
              <w:bottom w:val="triple" w:sz="4" w:space="0" w:color="4F81BD" w:themeColor="accent1"/>
              <w:right w:val="single" w:sz="4" w:space="0" w:color="auto"/>
            </w:tcBorders>
            <w:shd w:val="clear" w:color="000000" w:fill="F7E984"/>
            <w:vAlign w:val="center"/>
            <w:hideMark/>
          </w:tcPr>
          <w:p w14:paraId="61E8362B"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11</w:t>
            </w:r>
          </w:p>
        </w:tc>
        <w:tc>
          <w:tcPr>
            <w:tcW w:w="183" w:type="pct"/>
            <w:tcBorders>
              <w:top w:val="single" w:sz="4" w:space="0" w:color="auto"/>
              <w:left w:val="single" w:sz="4" w:space="0" w:color="auto"/>
              <w:bottom w:val="triple" w:sz="4" w:space="0" w:color="4F81BD" w:themeColor="accent1"/>
              <w:right w:val="single" w:sz="4" w:space="0" w:color="auto"/>
            </w:tcBorders>
            <w:shd w:val="clear" w:color="000000" w:fill="BAD780"/>
            <w:vAlign w:val="center"/>
            <w:hideMark/>
          </w:tcPr>
          <w:p w14:paraId="2472F7D9"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15</w:t>
            </w:r>
          </w:p>
        </w:tc>
        <w:tc>
          <w:tcPr>
            <w:tcW w:w="184" w:type="pct"/>
            <w:tcBorders>
              <w:top w:val="single" w:sz="4" w:space="0" w:color="auto"/>
              <w:left w:val="single" w:sz="4" w:space="0" w:color="auto"/>
              <w:bottom w:val="triple" w:sz="4" w:space="0" w:color="4F81BD" w:themeColor="accent1"/>
              <w:right w:val="single" w:sz="4" w:space="0" w:color="auto"/>
            </w:tcBorders>
            <w:shd w:val="clear" w:color="000000" w:fill="D6E082"/>
            <w:vAlign w:val="center"/>
            <w:hideMark/>
          </w:tcPr>
          <w:p w14:paraId="699B0CB5"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26</w:t>
            </w:r>
          </w:p>
        </w:tc>
        <w:tc>
          <w:tcPr>
            <w:tcW w:w="182" w:type="pct"/>
            <w:tcBorders>
              <w:top w:val="single" w:sz="4" w:space="0" w:color="auto"/>
              <w:left w:val="single" w:sz="4" w:space="0" w:color="auto"/>
              <w:bottom w:val="triple" w:sz="4" w:space="0" w:color="4F81BD" w:themeColor="accent1"/>
              <w:right w:val="single" w:sz="4" w:space="0" w:color="auto"/>
            </w:tcBorders>
            <w:shd w:val="clear" w:color="000000" w:fill="B6D680"/>
            <w:vAlign w:val="center"/>
            <w:hideMark/>
          </w:tcPr>
          <w:p w14:paraId="7C436387"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15</w:t>
            </w:r>
          </w:p>
        </w:tc>
        <w:tc>
          <w:tcPr>
            <w:tcW w:w="183" w:type="pct"/>
            <w:tcBorders>
              <w:top w:val="single" w:sz="4" w:space="0" w:color="auto"/>
              <w:left w:val="single" w:sz="4" w:space="0" w:color="auto"/>
              <w:bottom w:val="triple" w:sz="4" w:space="0" w:color="4F81BD" w:themeColor="accent1"/>
              <w:right w:val="single" w:sz="4" w:space="0" w:color="auto"/>
            </w:tcBorders>
            <w:shd w:val="clear" w:color="000000" w:fill="FA9272"/>
            <w:vAlign w:val="center"/>
            <w:hideMark/>
          </w:tcPr>
          <w:p w14:paraId="404E21D6"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8</w:t>
            </w:r>
          </w:p>
        </w:tc>
        <w:tc>
          <w:tcPr>
            <w:tcW w:w="202" w:type="pct"/>
            <w:tcBorders>
              <w:top w:val="single" w:sz="4" w:space="0" w:color="auto"/>
              <w:left w:val="single" w:sz="4" w:space="0" w:color="auto"/>
              <w:bottom w:val="triple" w:sz="4" w:space="0" w:color="4F81BD" w:themeColor="accent1"/>
              <w:right w:val="single" w:sz="4" w:space="0" w:color="auto"/>
            </w:tcBorders>
            <w:shd w:val="clear" w:color="000000" w:fill="FBA276"/>
            <w:vAlign w:val="center"/>
            <w:hideMark/>
          </w:tcPr>
          <w:p w14:paraId="1074E8E2"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12</w:t>
            </w:r>
          </w:p>
        </w:tc>
        <w:tc>
          <w:tcPr>
            <w:tcW w:w="205" w:type="pct"/>
            <w:tcBorders>
              <w:top w:val="single" w:sz="4" w:space="0" w:color="auto"/>
              <w:left w:val="single" w:sz="4" w:space="0" w:color="auto"/>
              <w:bottom w:val="triple" w:sz="4" w:space="0" w:color="4F81BD" w:themeColor="accent1"/>
              <w:right w:val="single" w:sz="4" w:space="0" w:color="auto"/>
            </w:tcBorders>
            <w:shd w:val="clear" w:color="000000" w:fill="C6DB81"/>
            <w:vAlign w:val="center"/>
            <w:hideMark/>
          </w:tcPr>
          <w:p w14:paraId="7016ED48"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14</w:t>
            </w:r>
          </w:p>
        </w:tc>
        <w:tc>
          <w:tcPr>
            <w:tcW w:w="205" w:type="pct"/>
            <w:tcBorders>
              <w:top w:val="single" w:sz="4" w:space="0" w:color="auto"/>
              <w:left w:val="single" w:sz="4" w:space="0" w:color="auto"/>
              <w:bottom w:val="triple" w:sz="4" w:space="0" w:color="4F81BD" w:themeColor="accent1"/>
              <w:right w:val="single" w:sz="4" w:space="0" w:color="auto"/>
            </w:tcBorders>
            <w:shd w:val="clear" w:color="000000" w:fill="F98470"/>
            <w:vAlign w:val="center"/>
            <w:hideMark/>
          </w:tcPr>
          <w:p w14:paraId="3A99D26D"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3</w:t>
            </w:r>
          </w:p>
        </w:tc>
        <w:tc>
          <w:tcPr>
            <w:tcW w:w="205" w:type="pct"/>
            <w:tcBorders>
              <w:top w:val="single" w:sz="4" w:space="0" w:color="auto"/>
              <w:left w:val="single" w:sz="4" w:space="0" w:color="auto"/>
              <w:bottom w:val="triple" w:sz="4" w:space="0" w:color="4F81BD" w:themeColor="accent1"/>
              <w:right w:val="single" w:sz="4" w:space="0" w:color="auto"/>
            </w:tcBorders>
            <w:shd w:val="clear" w:color="000000" w:fill="FA9272"/>
            <w:vAlign w:val="center"/>
            <w:hideMark/>
          </w:tcPr>
          <w:p w14:paraId="3A2A6F66"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4</w:t>
            </w:r>
          </w:p>
        </w:tc>
        <w:tc>
          <w:tcPr>
            <w:tcW w:w="205" w:type="pct"/>
            <w:tcBorders>
              <w:top w:val="single" w:sz="4" w:space="0" w:color="auto"/>
              <w:left w:val="single" w:sz="4" w:space="0" w:color="auto"/>
              <w:bottom w:val="triple" w:sz="4" w:space="0" w:color="4F81BD" w:themeColor="accent1"/>
              <w:right w:val="triple" w:sz="4" w:space="0" w:color="4F81BD" w:themeColor="accent1"/>
            </w:tcBorders>
            <w:shd w:val="clear" w:color="000000" w:fill="FFEB84"/>
            <w:vAlign w:val="center"/>
            <w:hideMark/>
          </w:tcPr>
          <w:p w14:paraId="090060B1" w14:textId="77777777" w:rsidR="00AF0AB3" w:rsidRPr="00287E10" w:rsidRDefault="00AF0AB3" w:rsidP="00AF0AB3">
            <w:pPr>
              <w:jc w:val="center"/>
              <w:rPr>
                <w:rFonts w:asciiTheme="minorHAnsi" w:hAnsiTheme="minorHAnsi" w:cstheme="minorHAnsi"/>
                <w:color w:val="000000"/>
                <w:sz w:val="20"/>
                <w:szCs w:val="20"/>
              </w:rPr>
            </w:pPr>
            <w:r w:rsidRPr="00287E10">
              <w:rPr>
                <w:rFonts w:asciiTheme="minorHAnsi" w:hAnsiTheme="minorHAnsi" w:cstheme="minorHAnsi"/>
                <w:color w:val="000000"/>
                <w:sz w:val="20"/>
                <w:szCs w:val="20"/>
              </w:rPr>
              <w:t>24</w:t>
            </w:r>
          </w:p>
        </w:tc>
      </w:tr>
    </w:tbl>
    <w:p w14:paraId="21ACC7D8" w14:textId="77777777" w:rsidR="00AF0AB3" w:rsidRPr="00F46539" w:rsidRDefault="00AF0AB3" w:rsidP="00AF0AB3">
      <w:pPr>
        <w:rPr>
          <w:rFonts w:asciiTheme="minorHAnsi" w:eastAsiaTheme="minorHAnsi" w:hAnsiTheme="minorHAnsi" w:cstheme="minorHAnsi"/>
          <w:sz w:val="20"/>
          <w:szCs w:val="20"/>
        </w:rPr>
      </w:pPr>
      <w:r w:rsidRPr="00F46539">
        <w:rPr>
          <w:rFonts w:asciiTheme="minorHAnsi" w:eastAsiaTheme="minorHAnsi" w:hAnsiTheme="minorHAnsi" w:cstheme="minorHAnsi"/>
          <w:sz w:val="20"/>
          <w:szCs w:val="20"/>
        </w:rPr>
        <w:t>*these variables have double weighting in the overall score, so the figures presented here are out of a maximum of 40 rather than 20.</w:t>
      </w:r>
    </w:p>
    <w:p w14:paraId="412CC9A8" w14:textId="77777777" w:rsidR="00F46539" w:rsidRDefault="00F46539" w:rsidP="00AF0AB3">
      <w:pPr>
        <w:rPr>
          <w:rFonts w:asciiTheme="minorHAnsi" w:eastAsiaTheme="minorHAnsi" w:hAnsiTheme="minorHAnsi" w:cstheme="minorHAnsi"/>
          <w:sz w:val="20"/>
          <w:szCs w:val="20"/>
        </w:rPr>
      </w:pPr>
    </w:p>
    <w:p w14:paraId="676C5C29" w14:textId="32C70F8B" w:rsidR="0042764F" w:rsidRPr="00C26C1E" w:rsidRDefault="00AF0AB3" w:rsidP="00C26C1E">
      <w:pPr>
        <w:rPr>
          <w:rFonts w:asciiTheme="minorHAnsi" w:eastAsiaTheme="minorHAnsi" w:hAnsiTheme="minorHAnsi" w:cstheme="minorHAnsi"/>
          <w:sz w:val="20"/>
          <w:szCs w:val="20"/>
        </w:rPr>
      </w:pPr>
      <w:r w:rsidRPr="00F46539">
        <w:rPr>
          <w:rFonts w:asciiTheme="minorHAnsi" w:eastAsiaTheme="minorHAnsi" w:hAnsiTheme="minorHAnsi" w:cstheme="minorHAnsi"/>
          <w:sz w:val="20"/>
          <w:szCs w:val="20"/>
        </w:rPr>
        <w:t>Source: drawn from Knight Frank (2017), with additional data supplied to the authors</w:t>
      </w:r>
    </w:p>
    <w:sectPr w:rsidR="0042764F" w:rsidRPr="00C26C1E" w:rsidSect="00406157">
      <w:pgSz w:w="16838" w:h="11906" w:orient="landscape" w:code="9"/>
      <w:pgMar w:top="851" w:right="851" w:bottom="851" w:left="851" w:header="709" w:footer="709" w:gutter="0"/>
      <w:pgBorders w:offsetFrom="page">
        <w:top w:val="single" w:sz="4" w:space="24" w:color="548DD4" w:themeColor="text2" w:themeTint="99"/>
        <w:left w:val="single" w:sz="4" w:space="24" w:color="548DD4" w:themeColor="text2" w:themeTint="99"/>
        <w:bottom w:val="single" w:sz="4" w:space="24" w:color="548DD4" w:themeColor="text2" w:themeTint="99"/>
        <w:right w:val="single" w:sz="4" w:space="24" w:color="548DD4" w:themeColor="text2" w:themeTint="9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70C0B" w14:textId="77777777" w:rsidR="007A7951" w:rsidRDefault="007A7951" w:rsidP="009B3F49">
      <w:r>
        <w:separator/>
      </w:r>
    </w:p>
  </w:endnote>
  <w:endnote w:type="continuationSeparator" w:id="0">
    <w:p w14:paraId="5CAA09B1" w14:textId="77777777" w:rsidR="007A7951" w:rsidRDefault="007A7951" w:rsidP="009B3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B0604020202020204"/>
    <w:charset w:val="01"/>
    <w:family w:val="roman"/>
    <w:pitch w:val="variable"/>
  </w:font>
  <w:font w:name="Songti SC">
    <w:panose1 w:val="02010600040101010101"/>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5C80E" w14:textId="77777777" w:rsidR="00DD4138" w:rsidRPr="00FF4322" w:rsidRDefault="00DD4138" w:rsidP="009039DE">
    <w:pPr>
      <w:pStyle w:val="Footer"/>
      <w:jc w:val="center"/>
      <w:rPr>
        <w:rFonts w:asciiTheme="minorHAnsi" w:hAnsiTheme="minorHAnsi" w:cs="Arial"/>
        <w:sz w:val="22"/>
        <w:szCs w:val="22"/>
      </w:rPr>
    </w:pPr>
    <w:r w:rsidRPr="00FF4322">
      <w:rPr>
        <w:rFonts w:asciiTheme="minorHAnsi" w:hAnsiTheme="minorHAnsi" w:cs="Arial"/>
        <w:sz w:val="22"/>
        <w:szCs w:val="22"/>
      </w:rPr>
      <w:fldChar w:fldCharType="begin"/>
    </w:r>
    <w:r w:rsidRPr="00FF4322">
      <w:rPr>
        <w:rFonts w:asciiTheme="minorHAnsi" w:hAnsiTheme="minorHAnsi" w:cs="Arial"/>
        <w:sz w:val="22"/>
        <w:szCs w:val="22"/>
      </w:rPr>
      <w:instrText xml:space="preserve"> PAGE   \* MERGEFORMAT </w:instrText>
    </w:r>
    <w:r w:rsidRPr="00FF4322">
      <w:rPr>
        <w:rFonts w:asciiTheme="minorHAnsi" w:hAnsiTheme="minorHAnsi" w:cs="Arial"/>
        <w:sz w:val="22"/>
        <w:szCs w:val="22"/>
      </w:rPr>
      <w:fldChar w:fldCharType="separate"/>
    </w:r>
    <w:r w:rsidRPr="00FF4322">
      <w:rPr>
        <w:rFonts w:asciiTheme="minorHAnsi" w:hAnsiTheme="minorHAnsi" w:cs="Arial"/>
        <w:noProof/>
        <w:sz w:val="22"/>
        <w:szCs w:val="22"/>
      </w:rPr>
      <w:t>4</w:t>
    </w:r>
    <w:r w:rsidRPr="00FF4322">
      <w:rPr>
        <w:rFonts w:asciiTheme="minorHAnsi" w:hAnsiTheme="minorHAnsi"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99E22" w14:textId="77777777" w:rsidR="007A7951" w:rsidRDefault="007A7951" w:rsidP="009B3F49">
      <w:r>
        <w:separator/>
      </w:r>
    </w:p>
  </w:footnote>
  <w:footnote w:type="continuationSeparator" w:id="0">
    <w:p w14:paraId="1FBEEEC7" w14:textId="77777777" w:rsidR="007A7951" w:rsidRDefault="007A7951" w:rsidP="009B3F49">
      <w:r>
        <w:continuationSeparator/>
      </w:r>
    </w:p>
  </w:footnote>
  <w:footnote w:id="1">
    <w:p w14:paraId="5357842A" w14:textId="48498A1E" w:rsidR="00DD4138" w:rsidRDefault="00DD4138" w:rsidP="00825D3E">
      <w:pPr>
        <w:pStyle w:val="FootnoteText"/>
        <w:ind w:left="284" w:hanging="284"/>
        <w:jc w:val="both"/>
      </w:pPr>
      <w:r>
        <w:rPr>
          <w:rStyle w:val="FootnoteReference"/>
        </w:rPr>
        <w:footnoteRef/>
      </w:r>
      <w:r>
        <w:t xml:space="preserve"> </w:t>
      </w:r>
      <w:r>
        <w:tab/>
      </w:r>
      <w:r w:rsidRPr="00754F07">
        <w:rPr>
          <w:rFonts w:asciiTheme="minorHAnsi" w:hAnsiTheme="minorHAnsi" w:cstheme="minorHAnsi"/>
          <w:sz w:val="18"/>
          <w:szCs w:val="18"/>
        </w:rPr>
        <w:t xml:space="preserve">The Hull City Local Plan 2000 and Hull Development Plan (which contained saved policies from the 2000 Local Plan) did not define shopping frontages within the city centre or a </w:t>
      </w:r>
      <w:r>
        <w:rPr>
          <w:rFonts w:asciiTheme="minorHAnsi" w:hAnsiTheme="minorHAnsi" w:cstheme="minorHAnsi"/>
          <w:sz w:val="18"/>
          <w:szCs w:val="18"/>
        </w:rPr>
        <w:t>p</w:t>
      </w:r>
      <w:r w:rsidRPr="00754F07">
        <w:rPr>
          <w:rFonts w:asciiTheme="minorHAnsi" w:hAnsiTheme="minorHAnsi" w:cstheme="minorHAnsi"/>
          <w:sz w:val="18"/>
          <w:szCs w:val="18"/>
        </w:rPr>
        <w:t xml:space="preserve">rimary </w:t>
      </w:r>
      <w:r>
        <w:rPr>
          <w:rFonts w:asciiTheme="minorHAnsi" w:hAnsiTheme="minorHAnsi" w:cstheme="minorHAnsi"/>
          <w:sz w:val="18"/>
          <w:szCs w:val="18"/>
        </w:rPr>
        <w:t>shopping</w:t>
      </w:r>
      <w:r w:rsidRPr="00754F07">
        <w:rPr>
          <w:rFonts w:asciiTheme="minorHAnsi" w:hAnsiTheme="minorHAnsi" w:cstheme="minorHAnsi"/>
          <w:sz w:val="18"/>
          <w:szCs w:val="18"/>
        </w:rPr>
        <w:t xml:space="preserve"> </w:t>
      </w:r>
      <w:r>
        <w:rPr>
          <w:rFonts w:asciiTheme="minorHAnsi" w:hAnsiTheme="minorHAnsi" w:cstheme="minorHAnsi"/>
          <w:sz w:val="18"/>
          <w:szCs w:val="18"/>
        </w:rPr>
        <w:t>a</w:t>
      </w:r>
      <w:r w:rsidRPr="00754F07">
        <w:rPr>
          <w:rFonts w:asciiTheme="minorHAnsi" w:hAnsiTheme="minorHAnsi" w:cstheme="minorHAnsi"/>
          <w:sz w:val="18"/>
          <w:szCs w:val="18"/>
        </w:rPr>
        <w:t>rea although the Proposals Map (City Centre Inset Map and Policy S4) identified a ‘Central Area’, which is shown in green. This was bounded by Freetown Way to the north, Castle Street to the south, Lowgate to the east and Ferensway (including St Stephen’s Shopping Centre) to the west (StrategicPerspecti&gt;es, 2014). A Primary Retail Area was proposed in 2016’s City Plan, which was adopted in November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1C69"/>
    <w:multiLevelType w:val="multilevel"/>
    <w:tmpl w:val="47F872F2"/>
    <w:lvl w:ilvl="0">
      <w:start w:val="1"/>
      <w:numFmt w:val="bullet"/>
      <w:lvlText w:val="o"/>
      <w:lvlJc w:val="left"/>
      <w:pPr>
        <w:ind w:left="1080" w:hanging="360"/>
      </w:pPr>
      <w:rPr>
        <w:rFonts w:ascii="Courier New" w:hAnsi="Courier New" w:cs="Courier New"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19738F8"/>
    <w:multiLevelType w:val="multilevel"/>
    <w:tmpl w:val="426EDED2"/>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9912F4F"/>
    <w:multiLevelType w:val="multilevel"/>
    <w:tmpl w:val="719C0D60"/>
    <w:lvl w:ilvl="0">
      <w:start w:val="5"/>
      <w:numFmt w:val="decimal"/>
      <w:lvlText w:val="%1.0"/>
      <w:lvlJc w:val="left"/>
      <w:pPr>
        <w:ind w:left="360" w:hanging="360"/>
      </w:pPr>
      <w:rPr>
        <w:rFonts w:hint="default"/>
      </w:rPr>
    </w:lvl>
    <w:lvl w:ilvl="1">
      <w:start w:val="1"/>
      <w:numFmt w:val="decimal"/>
      <w:lvlText w:val="%1.%2"/>
      <w:lvlJc w:val="left"/>
      <w:pPr>
        <w:ind w:left="1778" w:hanging="360"/>
      </w:pPr>
      <w:rPr>
        <w:rFonts w:hint="default"/>
      </w:rPr>
    </w:lvl>
    <w:lvl w:ilvl="2">
      <w:start w:val="1"/>
      <w:numFmt w:val="upperRoman"/>
      <w:lvlText w:val="%1.%2.%3"/>
      <w:lvlJc w:val="left"/>
      <w:pPr>
        <w:ind w:left="2520" w:hanging="10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9D97616"/>
    <w:multiLevelType w:val="hybridMultilevel"/>
    <w:tmpl w:val="DA160318"/>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E6654A"/>
    <w:multiLevelType w:val="multilevel"/>
    <w:tmpl w:val="CDC22814"/>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F514030"/>
    <w:multiLevelType w:val="multilevel"/>
    <w:tmpl w:val="71D8DE78"/>
    <w:lvl w:ilvl="0">
      <w:start w:val="1"/>
      <w:numFmt w:val="bullet"/>
      <w:lvlText w:val=""/>
      <w:lvlJc w:val="left"/>
      <w:pPr>
        <w:ind w:left="720" w:hanging="360"/>
      </w:pPr>
      <w:rPr>
        <w:rFonts w:ascii="Symbol" w:hAnsi="Symbol"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058400F"/>
    <w:multiLevelType w:val="multilevel"/>
    <w:tmpl w:val="D22EB27C"/>
    <w:styleLink w:val="CurrentList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27533CA"/>
    <w:multiLevelType w:val="hybridMultilevel"/>
    <w:tmpl w:val="06B47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7460FD"/>
    <w:multiLevelType w:val="hybridMultilevel"/>
    <w:tmpl w:val="47CE2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F14F83"/>
    <w:multiLevelType w:val="hybridMultilevel"/>
    <w:tmpl w:val="CE1C840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F33C40"/>
    <w:multiLevelType w:val="hybridMultilevel"/>
    <w:tmpl w:val="52469E56"/>
    <w:lvl w:ilvl="0" w:tplc="E7B0DC08">
      <w:start w:val="1"/>
      <w:numFmt w:val="decimal"/>
      <w:lvlText w:val="%1."/>
      <w:lvlJc w:val="left"/>
      <w:pPr>
        <w:tabs>
          <w:tab w:val="num" w:pos="720"/>
        </w:tabs>
        <w:ind w:left="720" w:hanging="360"/>
      </w:pPr>
    </w:lvl>
    <w:lvl w:ilvl="1" w:tplc="D54EA254" w:tentative="1">
      <w:start w:val="1"/>
      <w:numFmt w:val="decimal"/>
      <w:lvlText w:val="%2."/>
      <w:lvlJc w:val="left"/>
      <w:pPr>
        <w:tabs>
          <w:tab w:val="num" w:pos="1440"/>
        </w:tabs>
        <w:ind w:left="1440" w:hanging="360"/>
      </w:pPr>
    </w:lvl>
    <w:lvl w:ilvl="2" w:tplc="084E030C" w:tentative="1">
      <w:start w:val="1"/>
      <w:numFmt w:val="decimal"/>
      <w:lvlText w:val="%3."/>
      <w:lvlJc w:val="left"/>
      <w:pPr>
        <w:tabs>
          <w:tab w:val="num" w:pos="2160"/>
        </w:tabs>
        <w:ind w:left="2160" w:hanging="360"/>
      </w:pPr>
    </w:lvl>
    <w:lvl w:ilvl="3" w:tplc="4FD883F0" w:tentative="1">
      <w:start w:val="1"/>
      <w:numFmt w:val="decimal"/>
      <w:lvlText w:val="%4."/>
      <w:lvlJc w:val="left"/>
      <w:pPr>
        <w:tabs>
          <w:tab w:val="num" w:pos="2880"/>
        </w:tabs>
        <w:ind w:left="2880" w:hanging="360"/>
      </w:pPr>
    </w:lvl>
    <w:lvl w:ilvl="4" w:tplc="358ED912" w:tentative="1">
      <w:start w:val="1"/>
      <w:numFmt w:val="decimal"/>
      <w:lvlText w:val="%5."/>
      <w:lvlJc w:val="left"/>
      <w:pPr>
        <w:tabs>
          <w:tab w:val="num" w:pos="3600"/>
        </w:tabs>
        <w:ind w:left="3600" w:hanging="360"/>
      </w:pPr>
    </w:lvl>
    <w:lvl w:ilvl="5" w:tplc="2EEA36EA" w:tentative="1">
      <w:start w:val="1"/>
      <w:numFmt w:val="decimal"/>
      <w:lvlText w:val="%6."/>
      <w:lvlJc w:val="left"/>
      <w:pPr>
        <w:tabs>
          <w:tab w:val="num" w:pos="4320"/>
        </w:tabs>
        <w:ind w:left="4320" w:hanging="360"/>
      </w:pPr>
    </w:lvl>
    <w:lvl w:ilvl="6" w:tplc="13A6447C" w:tentative="1">
      <w:start w:val="1"/>
      <w:numFmt w:val="decimal"/>
      <w:lvlText w:val="%7."/>
      <w:lvlJc w:val="left"/>
      <w:pPr>
        <w:tabs>
          <w:tab w:val="num" w:pos="5040"/>
        </w:tabs>
        <w:ind w:left="5040" w:hanging="360"/>
      </w:pPr>
    </w:lvl>
    <w:lvl w:ilvl="7" w:tplc="C3042B54" w:tentative="1">
      <w:start w:val="1"/>
      <w:numFmt w:val="decimal"/>
      <w:lvlText w:val="%8."/>
      <w:lvlJc w:val="left"/>
      <w:pPr>
        <w:tabs>
          <w:tab w:val="num" w:pos="5760"/>
        </w:tabs>
        <w:ind w:left="5760" w:hanging="360"/>
      </w:pPr>
    </w:lvl>
    <w:lvl w:ilvl="8" w:tplc="81122C6C" w:tentative="1">
      <w:start w:val="1"/>
      <w:numFmt w:val="decimal"/>
      <w:lvlText w:val="%9."/>
      <w:lvlJc w:val="left"/>
      <w:pPr>
        <w:tabs>
          <w:tab w:val="num" w:pos="6480"/>
        </w:tabs>
        <w:ind w:left="6480" w:hanging="360"/>
      </w:pPr>
    </w:lvl>
  </w:abstractNum>
  <w:abstractNum w:abstractNumId="11" w15:restartNumberingAfterBreak="0">
    <w:nsid w:val="20FB7A24"/>
    <w:multiLevelType w:val="multilevel"/>
    <w:tmpl w:val="F9FAABA2"/>
    <w:lvl w:ilvl="0">
      <w:start w:val="1"/>
      <w:numFmt w:val="bullet"/>
      <w:lvlText w:val="o"/>
      <w:lvlJc w:val="left"/>
      <w:pPr>
        <w:ind w:left="1080" w:hanging="360"/>
      </w:pPr>
      <w:rPr>
        <w:rFonts w:ascii="Courier New" w:hAnsi="Courier New" w:cs="Courier New"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2EC02DC1"/>
    <w:multiLevelType w:val="hybridMultilevel"/>
    <w:tmpl w:val="D22EB2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AA13DC"/>
    <w:multiLevelType w:val="hybridMultilevel"/>
    <w:tmpl w:val="29C84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840F86"/>
    <w:multiLevelType w:val="multilevel"/>
    <w:tmpl w:val="8EEC7C34"/>
    <w:styleLink w:val="CurrentList11"/>
    <w:lvl w:ilvl="0">
      <w:start w:val="1"/>
      <w:numFmt w:val="bullet"/>
      <w:lvlText w:val=""/>
      <w:lvlJc w:val="left"/>
      <w:pPr>
        <w:ind w:left="720" w:hanging="360"/>
      </w:pPr>
      <w:rPr>
        <w:rFonts w:ascii="Symbol" w:hAnsi="Symbol"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3B32741"/>
    <w:multiLevelType w:val="multilevel"/>
    <w:tmpl w:val="8EEC7C34"/>
    <w:styleLink w:val="CurrentList10"/>
    <w:lvl w:ilvl="0">
      <w:start w:val="1"/>
      <w:numFmt w:val="bullet"/>
      <w:lvlText w:val=""/>
      <w:lvlJc w:val="left"/>
      <w:pPr>
        <w:ind w:left="720" w:hanging="360"/>
      </w:pPr>
      <w:rPr>
        <w:rFonts w:ascii="Symbol" w:hAnsi="Symbol"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5291DA0"/>
    <w:multiLevelType w:val="hybridMultilevel"/>
    <w:tmpl w:val="4FAE1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2C0698"/>
    <w:multiLevelType w:val="multilevel"/>
    <w:tmpl w:val="8EEC7C34"/>
    <w:lvl w:ilvl="0">
      <w:start w:val="1"/>
      <w:numFmt w:val="bullet"/>
      <w:lvlText w:val=""/>
      <w:lvlJc w:val="left"/>
      <w:pPr>
        <w:ind w:left="720" w:hanging="360"/>
      </w:pPr>
      <w:rPr>
        <w:rFonts w:ascii="Symbol" w:hAnsi="Symbol"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8333C79"/>
    <w:multiLevelType w:val="multilevel"/>
    <w:tmpl w:val="5F500A6A"/>
    <w:lvl w:ilvl="0">
      <w:start w:val="1"/>
      <w:numFmt w:val="bullet"/>
      <w:lvlText w:val="o"/>
      <w:lvlJc w:val="left"/>
      <w:pPr>
        <w:ind w:left="1080" w:hanging="360"/>
      </w:pPr>
      <w:rPr>
        <w:rFonts w:ascii="Courier New" w:hAnsi="Courier New" w:cs="Courier New"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3A15713A"/>
    <w:multiLevelType w:val="multilevel"/>
    <w:tmpl w:val="1E029180"/>
    <w:lvl w:ilvl="0">
      <w:start w:val="1"/>
      <w:numFmt w:val="bullet"/>
      <w:lvlText w:val="o"/>
      <w:lvlJc w:val="left"/>
      <w:pPr>
        <w:ind w:left="720" w:hanging="360"/>
      </w:pPr>
      <w:rPr>
        <w:rFonts w:ascii="Courier New" w:hAnsi="Courier New" w:cs="Courier New"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ADF30C2"/>
    <w:multiLevelType w:val="hybridMultilevel"/>
    <w:tmpl w:val="6F1CFA8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445A15"/>
    <w:multiLevelType w:val="hybridMultilevel"/>
    <w:tmpl w:val="344A5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A5285E"/>
    <w:multiLevelType w:val="multilevel"/>
    <w:tmpl w:val="8EEC7C34"/>
    <w:styleLink w:val="CurrentList9"/>
    <w:lvl w:ilvl="0">
      <w:start w:val="1"/>
      <w:numFmt w:val="bullet"/>
      <w:lvlText w:val=""/>
      <w:lvlJc w:val="left"/>
      <w:pPr>
        <w:ind w:left="720" w:hanging="360"/>
      </w:pPr>
      <w:rPr>
        <w:rFonts w:ascii="Symbol" w:hAnsi="Symbol"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F3B6CD8"/>
    <w:multiLevelType w:val="multilevel"/>
    <w:tmpl w:val="D22EB27C"/>
    <w:styleLink w:val="CurrentList1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031505F"/>
    <w:multiLevelType w:val="hybridMultilevel"/>
    <w:tmpl w:val="07EAD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6B4E73"/>
    <w:multiLevelType w:val="hybridMultilevel"/>
    <w:tmpl w:val="BDCCB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7F4F7D"/>
    <w:multiLevelType w:val="multilevel"/>
    <w:tmpl w:val="04767DFE"/>
    <w:lvl w:ilvl="0">
      <w:start w:val="1"/>
      <w:numFmt w:val="upperRoman"/>
      <w:lvlText w:val="%1."/>
      <w:lvlJc w:val="right"/>
      <w:pPr>
        <w:ind w:left="720" w:hanging="360"/>
      </w:pPr>
      <w:rPr>
        <w:rFonts w:hint="default"/>
      </w:rPr>
    </w:lvl>
    <w:lvl w:ilvl="1">
      <w:start w:val="4"/>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5D53065"/>
    <w:multiLevelType w:val="hybridMultilevel"/>
    <w:tmpl w:val="938612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46D654D5"/>
    <w:multiLevelType w:val="hybridMultilevel"/>
    <w:tmpl w:val="896C5C6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D86904"/>
    <w:multiLevelType w:val="hybridMultilevel"/>
    <w:tmpl w:val="36749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690A92"/>
    <w:multiLevelType w:val="multilevel"/>
    <w:tmpl w:val="D22EB27C"/>
    <w:styleLink w:val="CurrentList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B455042"/>
    <w:multiLevelType w:val="hybridMultilevel"/>
    <w:tmpl w:val="96E8A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2A7856"/>
    <w:multiLevelType w:val="multilevel"/>
    <w:tmpl w:val="C3042A92"/>
    <w:styleLink w:val="CurrentList8"/>
    <w:lvl w:ilvl="0">
      <w:start w:val="1"/>
      <w:numFmt w:val="bullet"/>
      <w:lvlText w:val="o"/>
      <w:lvlJc w:val="left"/>
      <w:pPr>
        <w:ind w:left="720" w:hanging="360"/>
      </w:pPr>
      <w:rPr>
        <w:rFonts w:ascii="Courier New" w:hAnsi="Courier New" w:cs="Courier New"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D45256D"/>
    <w:multiLevelType w:val="multilevel"/>
    <w:tmpl w:val="B84EFF6A"/>
    <w:styleLink w:val="CurrentList5"/>
    <w:lvl w:ilvl="0">
      <w:start w:val="1"/>
      <w:numFmt w:val="bullet"/>
      <w:lvlText w:val="o"/>
      <w:lvlJc w:val="left"/>
      <w:pPr>
        <w:ind w:left="720" w:hanging="360"/>
      </w:pPr>
      <w:rPr>
        <w:rFonts w:ascii="Courier New" w:hAnsi="Courier New" w:cs="Courier New"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4E0E4221"/>
    <w:multiLevelType w:val="multilevel"/>
    <w:tmpl w:val="BE184582"/>
    <w:styleLink w:val="CurrentList3"/>
    <w:lvl w:ilvl="0">
      <w:start w:val="1"/>
      <w:numFmt w:val="bullet"/>
      <w:lvlText w:val="o"/>
      <w:lvlJc w:val="left"/>
      <w:pPr>
        <w:ind w:left="720" w:hanging="360"/>
      </w:pPr>
      <w:rPr>
        <w:rFonts w:ascii="Courier New" w:hAnsi="Courier New" w:cs="Courier New"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4F6F2631"/>
    <w:multiLevelType w:val="multilevel"/>
    <w:tmpl w:val="5594A1E2"/>
    <w:styleLink w:val="CurrentList4"/>
    <w:lvl w:ilvl="0">
      <w:start w:val="1"/>
      <w:numFmt w:val="bullet"/>
      <w:lvlText w:val=""/>
      <w:lvlJc w:val="left"/>
      <w:pPr>
        <w:ind w:left="720" w:hanging="360"/>
      </w:pPr>
      <w:rPr>
        <w:rFonts w:ascii="Symbol" w:hAnsi="Symbol"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29C03FE"/>
    <w:multiLevelType w:val="multilevel"/>
    <w:tmpl w:val="903251E0"/>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2E2604F"/>
    <w:multiLevelType w:val="hybridMultilevel"/>
    <w:tmpl w:val="CA3E3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3B4794E"/>
    <w:multiLevelType w:val="multilevel"/>
    <w:tmpl w:val="69E8435C"/>
    <w:styleLink w:val="CurrentList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4883989"/>
    <w:multiLevelType w:val="hybridMultilevel"/>
    <w:tmpl w:val="0A76AF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4BC6908"/>
    <w:multiLevelType w:val="multilevel"/>
    <w:tmpl w:val="32E84DF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264DEE"/>
    <w:multiLevelType w:val="hybridMultilevel"/>
    <w:tmpl w:val="E52A3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94D2435"/>
    <w:multiLevelType w:val="hybridMultilevel"/>
    <w:tmpl w:val="769A6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DFD6A56"/>
    <w:multiLevelType w:val="multilevel"/>
    <w:tmpl w:val="4FDE80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F9356E6"/>
    <w:multiLevelType w:val="multilevel"/>
    <w:tmpl w:val="E1481EE6"/>
    <w:lvl w:ilvl="0">
      <w:start w:val="1"/>
      <w:numFmt w:val="bullet"/>
      <w:lvlText w:val="o"/>
      <w:lvlJc w:val="left"/>
      <w:pPr>
        <w:ind w:left="927" w:hanging="360"/>
      </w:pPr>
      <w:rPr>
        <w:rFonts w:ascii="Courier New" w:hAnsi="Courier New" w:cs="Courier New"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45" w15:restartNumberingAfterBreak="0">
    <w:nsid w:val="68484FE7"/>
    <w:multiLevelType w:val="multilevel"/>
    <w:tmpl w:val="B84EFF6A"/>
    <w:styleLink w:val="CurrentList6"/>
    <w:lvl w:ilvl="0">
      <w:start w:val="1"/>
      <w:numFmt w:val="bullet"/>
      <w:lvlText w:val="o"/>
      <w:lvlJc w:val="left"/>
      <w:pPr>
        <w:ind w:left="720" w:hanging="360"/>
      </w:pPr>
      <w:rPr>
        <w:rFonts w:ascii="Courier New" w:hAnsi="Courier New" w:cs="Courier New"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9250476"/>
    <w:multiLevelType w:val="multilevel"/>
    <w:tmpl w:val="2424C110"/>
    <w:styleLink w:val="CurrentList7"/>
    <w:lvl w:ilvl="0">
      <w:start w:val="1"/>
      <w:numFmt w:val="bullet"/>
      <w:lvlText w:val=""/>
      <w:lvlJc w:val="left"/>
      <w:pPr>
        <w:ind w:left="720" w:hanging="360"/>
      </w:pPr>
      <w:rPr>
        <w:rFonts w:ascii="Symbol" w:hAnsi="Symbol"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C7D4D6B"/>
    <w:multiLevelType w:val="hybridMultilevel"/>
    <w:tmpl w:val="5A723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DD546CB"/>
    <w:multiLevelType w:val="hybridMultilevel"/>
    <w:tmpl w:val="3B26A76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ED77C72"/>
    <w:multiLevelType w:val="multilevel"/>
    <w:tmpl w:val="EB8AC6E8"/>
    <w:lvl w:ilvl="0">
      <w:start w:val="1"/>
      <w:numFmt w:val="bullet"/>
      <w:lvlText w:val=""/>
      <w:lvlJc w:val="left"/>
      <w:pPr>
        <w:ind w:left="720" w:hanging="360"/>
      </w:pPr>
      <w:rPr>
        <w:rFonts w:ascii="Symbol" w:hAnsi="Symbol"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6F597FA8"/>
    <w:multiLevelType w:val="hybridMultilevel"/>
    <w:tmpl w:val="D85CDCA4"/>
    <w:lvl w:ilvl="0" w:tplc="775EE760">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09301B6"/>
    <w:multiLevelType w:val="hybridMultilevel"/>
    <w:tmpl w:val="84AC56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B7145D"/>
    <w:multiLevelType w:val="hybridMultilevel"/>
    <w:tmpl w:val="AA421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5563A26"/>
    <w:multiLevelType w:val="multilevel"/>
    <w:tmpl w:val="8EEC7C34"/>
    <w:styleLink w:val="CurrentList12"/>
    <w:lvl w:ilvl="0">
      <w:start w:val="1"/>
      <w:numFmt w:val="bullet"/>
      <w:lvlText w:val=""/>
      <w:lvlJc w:val="left"/>
      <w:pPr>
        <w:ind w:left="720" w:hanging="360"/>
      </w:pPr>
      <w:rPr>
        <w:rFonts w:ascii="Symbol" w:hAnsi="Symbol"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70849F5"/>
    <w:multiLevelType w:val="multilevel"/>
    <w:tmpl w:val="D22EB27C"/>
    <w:styleLink w:val="CurrentList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779277CA"/>
    <w:multiLevelType w:val="hybridMultilevel"/>
    <w:tmpl w:val="69E84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80A5F7C"/>
    <w:multiLevelType w:val="hybridMultilevel"/>
    <w:tmpl w:val="C5F865A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9383D8E"/>
    <w:multiLevelType w:val="multilevel"/>
    <w:tmpl w:val="71D8DE78"/>
    <w:lvl w:ilvl="0">
      <w:start w:val="1"/>
      <w:numFmt w:val="bullet"/>
      <w:lvlText w:val=""/>
      <w:lvlJc w:val="left"/>
      <w:pPr>
        <w:ind w:left="720" w:hanging="360"/>
      </w:pPr>
      <w:rPr>
        <w:rFonts w:ascii="Symbol" w:hAnsi="Symbol"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7B8B5CFA"/>
    <w:multiLevelType w:val="hybridMultilevel"/>
    <w:tmpl w:val="E334D92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C077799"/>
    <w:multiLevelType w:val="multilevel"/>
    <w:tmpl w:val="9ACE661E"/>
    <w:lvl w:ilvl="0">
      <w:start w:val="7"/>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7EA7169A"/>
    <w:multiLevelType w:val="hybridMultilevel"/>
    <w:tmpl w:val="6DA495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EE61489"/>
    <w:multiLevelType w:val="hybridMultilevel"/>
    <w:tmpl w:val="E444C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2209973">
    <w:abstractNumId w:val="58"/>
  </w:num>
  <w:num w:numId="2" w16cid:durableId="876503202">
    <w:abstractNumId w:val="47"/>
  </w:num>
  <w:num w:numId="3" w16cid:durableId="1403799486">
    <w:abstractNumId w:val="13"/>
  </w:num>
  <w:num w:numId="4" w16cid:durableId="1197428603">
    <w:abstractNumId w:val="41"/>
  </w:num>
  <w:num w:numId="5" w16cid:durableId="392585817">
    <w:abstractNumId w:val="42"/>
  </w:num>
  <w:num w:numId="6" w16cid:durableId="1075203417">
    <w:abstractNumId w:val="7"/>
  </w:num>
  <w:num w:numId="7" w16cid:durableId="2121414268">
    <w:abstractNumId w:val="24"/>
  </w:num>
  <w:num w:numId="8" w16cid:durableId="1129008086">
    <w:abstractNumId w:val="25"/>
  </w:num>
  <w:num w:numId="9" w16cid:durableId="1495074513">
    <w:abstractNumId w:val="2"/>
  </w:num>
  <w:num w:numId="10" w16cid:durableId="922686862">
    <w:abstractNumId w:val="10"/>
  </w:num>
  <w:num w:numId="11" w16cid:durableId="760757189">
    <w:abstractNumId w:val="37"/>
  </w:num>
  <w:num w:numId="12" w16cid:durableId="199824095">
    <w:abstractNumId w:val="59"/>
  </w:num>
  <w:num w:numId="13" w16cid:durableId="553850887">
    <w:abstractNumId w:val="31"/>
  </w:num>
  <w:num w:numId="14" w16cid:durableId="1160003873">
    <w:abstractNumId w:val="40"/>
  </w:num>
  <w:num w:numId="15" w16cid:durableId="656303322">
    <w:abstractNumId w:val="50"/>
  </w:num>
  <w:num w:numId="16" w16cid:durableId="1159922155">
    <w:abstractNumId w:val="26"/>
  </w:num>
  <w:num w:numId="17" w16cid:durableId="1600286107">
    <w:abstractNumId w:val="9"/>
  </w:num>
  <w:num w:numId="18" w16cid:durableId="843712309">
    <w:abstractNumId w:val="60"/>
  </w:num>
  <w:num w:numId="19" w16cid:durableId="949505809">
    <w:abstractNumId w:val="5"/>
  </w:num>
  <w:num w:numId="20" w16cid:durableId="1720665338">
    <w:abstractNumId w:val="17"/>
  </w:num>
  <w:num w:numId="21" w16cid:durableId="1849711641">
    <w:abstractNumId w:val="57"/>
  </w:num>
  <w:num w:numId="22" w16cid:durableId="241716939">
    <w:abstractNumId w:val="36"/>
  </w:num>
  <w:num w:numId="23" w16cid:durableId="108670615">
    <w:abstractNumId w:val="52"/>
  </w:num>
  <w:num w:numId="24" w16cid:durableId="1864593718">
    <w:abstractNumId w:val="8"/>
  </w:num>
  <w:num w:numId="25" w16cid:durableId="1607694746">
    <w:abstractNumId w:val="39"/>
  </w:num>
  <w:num w:numId="26" w16cid:durableId="1757899671">
    <w:abstractNumId w:val="55"/>
  </w:num>
  <w:num w:numId="27" w16cid:durableId="1637685729">
    <w:abstractNumId w:val="16"/>
  </w:num>
  <w:num w:numId="28" w16cid:durableId="216091300">
    <w:abstractNumId w:val="12"/>
  </w:num>
  <w:num w:numId="29" w16cid:durableId="665937762">
    <w:abstractNumId w:val="27"/>
  </w:num>
  <w:num w:numId="30" w16cid:durableId="1888298175">
    <w:abstractNumId w:val="19"/>
  </w:num>
  <w:num w:numId="31" w16cid:durableId="353195377">
    <w:abstractNumId w:val="3"/>
  </w:num>
  <w:num w:numId="32" w16cid:durableId="184371059">
    <w:abstractNumId w:val="4"/>
  </w:num>
  <w:num w:numId="33" w16cid:durableId="1971009912">
    <w:abstractNumId w:val="1"/>
  </w:num>
  <w:num w:numId="34" w16cid:durableId="707797772">
    <w:abstractNumId w:val="34"/>
  </w:num>
  <w:num w:numId="35" w16cid:durableId="1694262515">
    <w:abstractNumId w:val="35"/>
  </w:num>
  <w:num w:numId="36" w16cid:durableId="175727304">
    <w:abstractNumId w:val="33"/>
  </w:num>
  <w:num w:numId="37" w16cid:durableId="1902595167">
    <w:abstractNumId w:val="49"/>
  </w:num>
  <w:num w:numId="38" w16cid:durableId="1213613006">
    <w:abstractNumId w:val="45"/>
  </w:num>
  <w:num w:numId="39" w16cid:durableId="1650280476">
    <w:abstractNumId w:val="46"/>
  </w:num>
  <w:num w:numId="40" w16cid:durableId="1840580829">
    <w:abstractNumId w:val="32"/>
  </w:num>
  <w:num w:numId="41" w16cid:durableId="1599487371">
    <w:abstractNumId w:val="22"/>
  </w:num>
  <w:num w:numId="42" w16cid:durableId="2130511280">
    <w:abstractNumId w:val="44"/>
  </w:num>
  <w:num w:numId="43" w16cid:durableId="709301605">
    <w:abstractNumId w:val="15"/>
  </w:num>
  <w:num w:numId="44" w16cid:durableId="559171779">
    <w:abstractNumId w:val="11"/>
  </w:num>
  <w:num w:numId="45" w16cid:durableId="1048340066">
    <w:abstractNumId w:val="14"/>
  </w:num>
  <w:num w:numId="46" w16cid:durableId="2118671583">
    <w:abstractNumId w:val="18"/>
  </w:num>
  <w:num w:numId="47" w16cid:durableId="1761290987">
    <w:abstractNumId w:val="53"/>
  </w:num>
  <w:num w:numId="48" w16cid:durableId="1936547570">
    <w:abstractNumId w:val="0"/>
  </w:num>
  <w:num w:numId="49" w16cid:durableId="1039008261">
    <w:abstractNumId w:val="30"/>
  </w:num>
  <w:num w:numId="50" w16cid:durableId="509640639">
    <w:abstractNumId w:val="28"/>
  </w:num>
  <w:num w:numId="51" w16cid:durableId="780759889">
    <w:abstractNumId w:val="6"/>
  </w:num>
  <w:num w:numId="52" w16cid:durableId="2127003149">
    <w:abstractNumId w:val="20"/>
  </w:num>
  <w:num w:numId="53" w16cid:durableId="1409962125">
    <w:abstractNumId w:val="23"/>
  </w:num>
  <w:num w:numId="54" w16cid:durableId="930747253">
    <w:abstractNumId w:val="56"/>
  </w:num>
  <w:num w:numId="55" w16cid:durableId="1502812660">
    <w:abstractNumId w:val="54"/>
  </w:num>
  <w:num w:numId="56" w16cid:durableId="1142505784">
    <w:abstractNumId w:val="48"/>
  </w:num>
  <w:num w:numId="57" w16cid:durableId="1395465861">
    <w:abstractNumId w:val="21"/>
  </w:num>
  <w:num w:numId="58" w16cid:durableId="398939929">
    <w:abstractNumId w:val="61"/>
  </w:num>
  <w:num w:numId="59" w16cid:durableId="54158515">
    <w:abstractNumId w:val="29"/>
  </w:num>
  <w:num w:numId="60" w16cid:durableId="384987683">
    <w:abstractNumId w:val="43"/>
  </w:num>
  <w:num w:numId="61" w16cid:durableId="745734422">
    <w:abstractNumId w:val="38"/>
  </w:num>
  <w:num w:numId="62" w16cid:durableId="1695230891">
    <w:abstractNumId w:val="5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445"/>
    <w:rsid w:val="00000807"/>
    <w:rsid w:val="00001BEF"/>
    <w:rsid w:val="00001C85"/>
    <w:rsid w:val="00002031"/>
    <w:rsid w:val="0000217D"/>
    <w:rsid w:val="000022EF"/>
    <w:rsid w:val="00002DD2"/>
    <w:rsid w:val="0000309E"/>
    <w:rsid w:val="000032E5"/>
    <w:rsid w:val="00003583"/>
    <w:rsid w:val="00003658"/>
    <w:rsid w:val="00003AB3"/>
    <w:rsid w:val="0000401F"/>
    <w:rsid w:val="00006144"/>
    <w:rsid w:val="00006227"/>
    <w:rsid w:val="0000636A"/>
    <w:rsid w:val="000104A7"/>
    <w:rsid w:val="00010CBB"/>
    <w:rsid w:val="00010E7A"/>
    <w:rsid w:val="0001101D"/>
    <w:rsid w:val="0001108D"/>
    <w:rsid w:val="000118D1"/>
    <w:rsid w:val="000122BE"/>
    <w:rsid w:val="000136BB"/>
    <w:rsid w:val="00013EC1"/>
    <w:rsid w:val="000142E0"/>
    <w:rsid w:val="00014D4D"/>
    <w:rsid w:val="0001565D"/>
    <w:rsid w:val="00015B3E"/>
    <w:rsid w:val="00015D1F"/>
    <w:rsid w:val="000163CB"/>
    <w:rsid w:val="0001744E"/>
    <w:rsid w:val="000175BE"/>
    <w:rsid w:val="00017ABA"/>
    <w:rsid w:val="00017B36"/>
    <w:rsid w:val="00020386"/>
    <w:rsid w:val="00020A99"/>
    <w:rsid w:val="0002122C"/>
    <w:rsid w:val="00022D0C"/>
    <w:rsid w:val="0002334D"/>
    <w:rsid w:val="00023B41"/>
    <w:rsid w:val="000252E9"/>
    <w:rsid w:val="0002530A"/>
    <w:rsid w:val="00027A75"/>
    <w:rsid w:val="0003004A"/>
    <w:rsid w:val="00030814"/>
    <w:rsid w:val="00031238"/>
    <w:rsid w:val="000312A0"/>
    <w:rsid w:val="00031454"/>
    <w:rsid w:val="0003216D"/>
    <w:rsid w:val="000322EC"/>
    <w:rsid w:val="0003331A"/>
    <w:rsid w:val="00033953"/>
    <w:rsid w:val="00033BC5"/>
    <w:rsid w:val="00034FD5"/>
    <w:rsid w:val="0003699A"/>
    <w:rsid w:val="00036A39"/>
    <w:rsid w:val="000400F4"/>
    <w:rsid w:val="00041409"/>
    <w:rsid w:val="0004186F"/>
    <w:rsid w:val="00041A20"/>
    <w:rsid w:val="00042652"/>
    <w:rsid w:val="00042BB2"/>
    <w:rsid w:val="00042E43"/>
    <w:rsid w:val="00042F4C"/>
    <w:rsid w:val="00044740"/>
    <w:rsid w:val="000448A1"/>
    <w:rsid w:val="000467F2"/>
    <w:rsid w:val="00046CE4"/>
    <w:rsid w:val="0004770E"/>
    <w:rsid w:val="00047D2B"/>
    <w:rsid w:val="00047DA7"/>
    <w:rsid w:val="00050F43"/>
    <w:rsid w:val="000517E3"/>
    <w:rsid w:val="00051BA4"/>
    <w:rsid w:val="00051C01"/>
    <w:rsid w:val="00054019"/>
    <w:rsid w:val="0005489F"/>
    <w:rsid w:val="00055C7A"/>
    <w:rsid w:val="00055E29"/>
    <w:rsid w:val="000563B2"/>
    <w:rsid w:val="00057126"/>
    <w:rsid w:val="000579AB"/>
    <w:rsid w:val="00057C1E"/>
    <w:rsid w:val="00060A80"/>
    <w:rsid w:val="00060EC6"/>
    <w:rsid w:val="00061B52"/>
    <w:rsid w:val="000620B6"/>
    <w:rsid w:val="00062575"/>
    <w:rsid w:val="000628B1"/>
    <w:rsid w:val="00063084"/>
    <w:rsid w:val="0006364F"/>
    <w:rsid w:val="00063715"/>
    <w:rsid w:val="00063985"/>
    <w:rsid w:val="0006445B"/>
    <w:rsid w:val="000647F0"/>
    <w:rsid w:val="00064DE6"/>
    <w:rsid w:val="000655E2"/>
    <w:rsid w:val="000660B2"/>
    <w:rsid w:val="000674CE"/>
    <w:rsid w:val="000676DC"/>
    <w:rsid w:val="00067B89"/>
    <w:rsid w:val="00067CDD"/>
    <w:rsid w:val="000712F1"/>
    <w:rsid w:val="00071B47"/>
    <w:rsid w:val="00071E32"/>
    <w:rsid w:val="00072233"/>
    <w:rsid w:val="00072373"/>
    <w:rsid w:val="00072599"/>
    <w:rsid w:val="00073091"/>
    <w:rsid w:val="0007368D"/>
    <w:rsid w:val="00073DA4"/>
    <w:rsid w:val="000745A9"/>
    <w:rsid w:val="00074645"/>
    <w:rsid w:val="000765AF"/>
    <w:rsid w:val="00077466"/>
    <w:rsid w:val="00077531"/>
    <w:rsid w:val="000775D9"/>
    <w:rsid w:val="0007788F"/>
    <w:rsid w:val="0008080D"/>
    <w:rsid w:val="00080AF5"/>
    <w:rsid w:val="00080CCA"/>
    <w:rsid w:val="00081B3F"/>
    <w:rsid w:val="00081BCA"/>
    <w:rsid w:val="0008260C"/>
    <w:rsid w:val="000826E8"/>
    <w:rsid w:val="00082CA0"/>
    <w:rsid w:val="00082E36"/>
    <w:rsid w:val="0008432F"/>
    <w:rsid w:val="00084CAC"/>
    <w:rsid w:val="0008513B"/>
    <w:rsid w:val="00085CEC"/>
    <w:rsid w:val="0008672E"/>
    <w:rsid w:val="00086E14"/>
    <w:rsid w:val="00087ADF"/>
    <w:rsid w:val="00087C19"/>
    <w:rsid w:val="00087DA8"/>
    <w:rsid w:val="00090887"/>
    <w:rsid w:val="0009099C"/>
    <w:rsid w:val="000919C7"/>
    <w:rsid w:val="00092E0C"/>
    <w:rsid w:val="00093E23"/>
    <w:rsid w:val="000944E7"/>
    <w:rsid w:val="00094F19"/>
    <w:rsid w:val="000961B6"/>
    <w:rsid w:val="00096306"/>
    <w:rsid w:val="00097251"/>
    <w:rsid w:val="00097A86"/>
    <w:rsid w:val="00097E78"/>
    <w:rsid w:val="000A0094"/>
    <w:rsid w:val="000A0224"/>
    <w:rsid w:val="000A178C"/>
    <w:rsid w:val="000A1864"/>
    <w:rsid w:val="000A1866"/>
    <w:rsid w:val="000A18B0"/>
    <w:rsid w:val="000A1C98"/>
    <w:rsid w:val="000A2252"/>
    <w:rsid w:val="000A24A0"/>
    <w:rsid w:val="000A3134"/>
    <w:rsid w:val="000A353F"/>
    <w:rsid w:val="000A437F"/>
    <w:rsid w:val="000A43A3"/>
    <w:rsid w:val="000A45EA"/>
    <w:rsid w:val="000A59C7"/>
    <w:rsid w:val="000A6057"/>
    <w:rsid w:val="000A6465"/>
    <w:rsid w:val="000A6BFA"/>
    <w:rsid w:val="000A6D8D"/>
    <w:rsid w:val="000A72BF"/>
    <w:rsid w:val="000A7AF6"/>
    <w:rsid w:val="000A7F3E"/>
    <w:rsid w:val="000A7FEB"/>
    <w:rsid w:val="000B138E"/>
    <w:rsid w:val="000B1503"/>
    <w:rsid w:val="000B27F5"/>
    <w:rsid w:val="000B2A1E"/>
    <w:rsid w:val="000B2D03"/>
    <w:rsid w:val="000B3195"/>
    <w:rsid w:val="000B3212"/>
    <w:rsid w:val="000B45E8"/>
    <w:rsid w:val="000B4878"/>
    <w:rsid w:val="000B4B4D"/>
    <w:rsid w:val="000B5BCE"/>
    <w:rsid w:val="000B5CA2"/>
    <w:rsid w:val="000B5D98"/>
    <w:rsid w:val="000B6CB3"/>
    <w:rsid w:val="000B6E20"/>
    <w:rsid w:val="000B7950"/>
    <w:rsid w:val="000C103A"/>
    <w:rsid w:val="000C1388"/>
    <w:rsid w:val="000C1E8F"/>
    <w:rsid w:val="000C2133"/>
    <w:rsid w:val="000C2BDA"/>
    <w:rsid w:val="000C3FC4"/>
    <w:rsid w:val="000C5842"/>
    <w:rsid w:val="000C627F"/>
    <w:rsid w:val="000C664B"/>
    <w:rsid w:val="000C6942"/>
    <w:rsid w:val="000C7587"/>
    <w:rsid w:val="000C7ED3"/>
    <w:rsid w:val="000D10A7"/>
    <w:rsid w:val="000D13A9"/>
    <w:rsid w:val="000D1B0E"/>
    <w:rsid w:val="000D1D8C"/>
    <w:rsid w:val="000D1F57"/>
    <w:rsid w:val="000D26C8"/>
    <w:rsid w:val="000D2A7E"/>
    <w:rsid w:val="000D32D2"/>
    <w:rsid w:val="000D330A"/>
    <w:rsid w:val="000D3F48"/>
    <w:rsid w:val="000D4117"/>
    <w:rsid w:val="000D4205"/>
    <w:rsid w:val="000D45D6"/>
    <w:rsid w:val="000D4603"/>
    <w:rsid w:val="000D5374"/>
    <w:rsid w:val="000D54D3"/>
    <w:rsid w:val="000D5BA8"/>
    <w:rsid w:val="000D5D2B"/>
    <w:rsid w:val="000D6649"/>
    <w:rsid w:val="000D6CE3"/>
    <w:rsid w:val="000E07BA"/>
    <w:rsid w:val="000E14D7"/>
    <w:rsid w:val="000E193B"/>
    <w:rsid w:val="000E1E4E"/>
    <w:rsid w:val="000E2574"/>
    <w:rsid w:val="000E38EB"/>
    <w:rsid w:val="000E4C07"/>
    <w:rsid w:val="000E5638"/>
    <w:rsid w:val="000E5C65"/>
    <w:rsid w:val="000E6822"/>
    <w:rsid w:val="000E6CEA"/>
    <w:rsid w:val="000E6D4F"/>
    <w:rsid w:val="000E6F00"/>
    <w:rsid w:val="000E6F30"/>
    <w:rsid w:val="000E7553"/>
    <w:rsid w:val="000E7CBD"/>
    <w:rsid w:val="000E7F18"/>
    <w:rsid w:val="000F09CA"/>
    <w:rsid w:val="000F0C9C"/>
    <w:rsid w:val="000F0EF7"/>
    <w:rsid w:val="000F11B7"/>
    <w:rsid w:val="000F12D7"/>
    <w:rsid w:val="000F25D7"/>
    <w:rsid w:val="000F3132"/>
    <w:rsid w:val="000F378E"/>
    <w:rsid w:val="000F3AFA"/>
    <w:rsid w:val="000F3BF6"/>
    <w:rsid w:val="000F4EB9"/>
    <w:rsid w:val="000F6144"/>
    <w:rsid w:val="000F6CF9"/>
    <w:rsid w:val="001008E1"/>
    <w:rsid w:val="00100B4C"/>
    <w:rsid w:val="00100BC2"/>
    <w:rsid w:val="00102090"/>
    <w:rsid w:val="00102121"/>
    <w:rsid w:val="001026F1"/>
    <w:rsid w:val="0010340E"/>
    <w:rsid w:val="00103874"/>
    <w:rsid w:val="001038FC"/>
    <w:rsid w:val="00103E88"/>
    <w:rsid w:val="00104281"/>
    <w:rsid w:val="00104978"/>
    <w:rsid w:val="001049D6"/>
    <w:rsid w:val="00104E87"/>
    <w:rsid w:val="00104EA0"/>
    <w:rsid w:val="0010594C"/>
    <w:rsid w:val="00105AFF"/>
    <w:rsid w:val="00105D7A"/>
    <w:rsid w:val="00106F14"/>
    <w:rsid w:val="00107386"/>
    <w:rsid w:val="001074DD"/>
    <w:rsid w:val="00107665"/>
    <w:rsid w:val="00107B54"/>
    <w:rsid w:val="00110043"/>
    <w:rsid w:val="00110DE4"/>
    <w:rsid w:val="001110F8"/>
    <w:rsid w:val="00111258"/>
    <w:rsid w:val="00113D63"/>
    <w:rsid w:val="0011492A"/>
    <w:rsid w:val="00114BB7"/>
    <w:rsid w:val="00114D57"/>
    <w:rsid w:val="00117026"/>
    <w:rsid w:val="0011745B"/>
    <w:rsid w:val="00117536"/>
    <w:rsid w:val="0011785F"/>
    <w:rsid w:val="00117919"/>
    <w:rsid w:val="0012026F"/>
    <w:rsid w:val="0012051B"/>
    <w:rsid w:val="001209F8"/>
    <w:rsid w:val="00120AC1"/>
    <w:rsid w:val="001219D1"/>
    <w:rsid w:val="00121BD6"/>
    <w:rsid w:val="001226E5"/>
    <w:rsid w:val="001243E3"/>
    <w:rsid w:val="001253DE"/>
    <w:rsid w:val="00125E2E"/>
    <w:rsid w:val="0012616C"/>
    <w:rsid w:val="0013033F"/>
    <w:rsid w:val="001305CD"/>
    <w:rsid w:val="001312A7"/>
    <w:rsid w:val="00131769"/>
    <w:rsid w:val="00131B84"/>
    <w:rsid w:val="001325D2"/>
    <w:rsid w:val="00132F38"/>
    <w:rsid w:val="0013319F"/>
    <w:rsid w:val="00133C3A"/>
    <w:rsid w:val="001350AD"/>
    <w:rsid w:val="0013557D"/>
    <w:rsid w:val="00135D60"/>
    <w:rsid w:val="00136730"/>
    <w:rsid w:val="001369FA"/>
    <w:rsid w:val="001374BE"/>
    <w:rsid w:val="001401C5"/>
    <w:rsid w:val="00140429"/>
    <w:rsid w:val="0014066A"/>
    <w:rsid w:val="00140BF5"/>
    <w:rsid w:val="00141261"/>
    <w:rsid w:val="0014224F"/>
    <w:rsid w:val="00142C88"/>
    <w:rsid w:val="00143349"/>
    <w:rsid w:val="001433E4"/>
    <w:rsid w:val="001438E3"/>
    <w:rsid w:val="00144162"/>
    <w:rsid w:val="00144BBE"/>
    <w:rsid w:val="00145526"/>
    <w:rsid w:val="00145AC0"/>
    <w:rsid w:val="001467CE"/>
    <w:rsid w:val="0014695F"/>
    <w:rsid w:val="00146C34"/>
    <w:rsid w:val="0014709F"/>
    <w:rsid w:val="00147610"/>
    <w:rsid w:val="00147707"/>
    <w:rsid w:val="00147739"/>
    <w:rsid w:val="00147F46"/>
    <w:rsid w:val="0015019F"/>
    <w:rsid w:val="00151D1A"/>
    <w:rsid w:val="00153590"/>
    <w:rsid w:val="0015368E"/>
    <w:rsid w:val="001538F9"/>
    <w:rsid w:val="001545BB"/>
    <w:rsid w:val="001570D7"/>
    <w:rsid w:val="001576DD"/>
    <w:rsid w:val="00157800"/>
    <w:rsid w:val="00160EA8"/>
    <w:rsid w:val="00161119"/>
    <w:rsid w:val="00161FFD"/>
    <w:rsid w:val="0016227F"/>
    <w:rsid w:val="001624D5"/>
    <w:rsid w:val="00162717"/>
    <w:rsid w:val="00162F8B"/>
    <w:rsid w:val="001636A2"/>
    <w:rsid w:val="00164D07"/>
    <w:rsid w:val="00164D3B"/>
    <w:rsid w:val="00165EE1"/>
    <w:rsid w:val="00166307"/>
    <w:rsid w:val="001666A8"/>
    <w:rsid w:val="0016714F"/>
    <w:rsid w:val="0017018A"/>
    <w:rsid w:val="0017059F"/>
    <w:rsid w:val="001705EC"/>
    <w:rsid w:val="00170A6A"/>
    <w:rsid w:val="001713EF"/>
    <w:rsid w:val="00171928"/>
    <w:rsid w:val="00171974"/>
    <w:rsid w:val="0017259B"/>
    <w:rsid w:val="00172F05"/>
    <w:rsid w:val="00173289"/>
    <w:rsid w:val="0017333F"/>
    <w:rsid w:val="0017494B"/>
    <w:rsid w:val="00174A5F"/>
    <w:rsid w:val="0017569E"/>
    <w:rsid w:val="00175AC7"/>
    <w:rsid w:val="001762FF"/>
    <w:rsid w:val="00176920"/>
    <w:rsid w:val="00177139"/>
    <w:rsid w:val="0018015E"/>
    <w:rsid w:val="0018102E"/>
    <w:rsid w:val="00182121"/>
    <w:rsid w:val="00182B64"/>
    <w:rsid w:val="00182F05"/>
    <w:rsid w:val="0018395A"/>
    <w:rsid w:val="00184396"/>
    <w:rsid w:val="00185106"/>
    <w:rsid w:val="00185681"/>
    <w:rsid w:val="001863E6"/>
    <w:rsid w:val="00186565"/>
    <w:rsid w:val="001865E5"/>
    <w:rsid w:val="00186890"/>
    <w:rsid w:val="001878D5"/>
    <w:rsid w:val="00187C8F"/>
    <w:rsid w:val="00187E38"/>
    <w:rsid w:val="00190113"/>
    <w:rsid w:val="001908AC"/>
    <w:rsid w:val="00190A46"/>
    <w:rsid w:val="00192BBB"/>
    <w:rsid w:val="0019312E"/>
    <w:rsid w:val="001932C7"/>
    <w:rsid w:val="0019346F"/>
    <w:rsid w:val="00193611"/>
    <w:rsid w:val="00193639"/>
    <w:rsid w:val="00193959"/>
    <w:rsid w:val="00195275"/>
    <w:rsid w:val="00195676"/>
    <w:rsid w:val="00195BED"/>
    <w:rsid w:val="0019638C"/>
    <w:rsid w:val="00196A05"/>
    <w:rsid w:val="00196C91"/>
    <w:rsid w:val="0019723E"/>
    <w:rsid w:val="00197D81"/>
    <w:rsid w:val="001A0275"/>
    <w:rsid w:val="001A06E3"/>
    <w:rsid w:val="001A08FF"/>
    <w:rsid w:val="001A0CCB"/>
    <w:rsid w:val="001A1CC7"/>
    <w:rsid w:val="001A1F17"/>
    <w:rsid w:val="001A220A"/>
    <w:rsid w:val="001A23C8"/>
    <w:rsid w:val="001A25D9"/>
    <w:rsid w:val="001A3594"/>
    <w:rsid w:val="001A3798"/>
    <w:rsid w:val="001A3A89"/>
    <w:rsid w:val="001A49E3"/>
    <w:rsid w:val="001A4A84"/>
    <w:rsid w:val="001A5510"/>
    <w:rsid w:val="001A62AB"/>
    <w:rsid w:val="001A66EE"/>
    <w:rsid w:val="001A6CE3"/>
    <w:rsid w:val="001A6EBE"/>
    <w:rsid w:val="001A6F75"/>
    <w:rsid w:val="001A7982"/>
    <w:rsid w:val="001A7C7F"/>
    <w:rsid w:val="001B0DBD"/>
    <w:rsid w:val="001B2348"/>
    <w:rsid w:val="001B2405"/>
    <w:rsid w:val="001B2620"/>
    <w:rsid w:val="001B2BAE"/>
    <w:rsid w:val="001B2FB5"/>
    <w:rsid w:val="001B31DC"/>
    <w:rsid w:val="001B367B"/>
    <w:rsid w:val="001B3B01"/>
    <w:rsid w:val="001B4212"/>
    <w:rsid w:val="001B48AF"/>
    <w:rsid w:val="001B561B"/>
    <w:rsid w:val="001B6414"/>
    <w:rsid w:val="001B68FF"/>
    <w:rsid w:val="001B6E62"/>
    <w:rsid w:val="001B6FB0"/>
    <w:rsid w:val="001B70BE"/>
    <w:rsid w:val="001B739C"/>
    <w:rsid w:val="001B78F7"/>
    <w:rsid w:val="001B7963"/>
    <w:rsid w:val="001B7AD1"/>
    <w:rsid w:val="001B7F66"/>
    <w:rsid w:val="001C065B"/>
    <w:rsid w:val="001C0C6E"/>
    <w:rsid w:val="001C10CD"/>
    <w:rsid w:val="001C1BD7"/>
    <w:rsid w:val="001C242B"/>
    <w:rsid w:val="001C278A"/>
    <w:rsid w:val="001C2A60"/>
    <w:rsid w:val="001C2A97"/>
    <w:rsid w:val="001C3402"/>
    <w:rsid w:val="001C4413"/>
    <w:rsid w:val="001C4708"/>
    <w:rsid w:val="001C5534"/>
    <w:rsid w:val="001C58AD"/>
    <w:rsid w:val="001C68CD"/>
    <w:rsid w:val="001C68D1"/>
    <w:rsid w:val="001C6B2F"/>
    <w:rsid w:val="001C7412"/>
    <w:rsid w:val="001C7926"/>
    <w:rsid w:val="001C7A0C"/>
    <w:rsid w:val="001C7C85"/>
    <w:rsid w:val="001D05F6"/>
    <w:rsid w:val="001D0B07"/>
    <w:rsid w:val="001D0E0F"/>
    <w:rsid w:val="001D16CE"/>
    <w:rsid w:val="001D33C5"/>
    <w:rsid w:val="001D354E"/>
    <w:rsid w:val="001D3D1B"/>
    <w:rsid w:val="001D4A6F"/>
    <w:rsid w:val="001D4DF5"/>
    <w:rsid w:val="001D5486"/>
    <w:rsid w:val="001D63AB"/>
    <w:rsid w:val="001D68D3"/>
    <w:rsid w:val="001D6A92"/>
    <w:rsid w:val="001D6AC7"/>
    <w:rsid w:val="001D6BFA"/>
    <w:rsid w:val="001D6E29"/>
    <w:rsid w:val="001D72A0"/>
    <w:rsid w:val="001D7679"/>
    <w:rsid w:val="001E04AA"/>
    <w:rsid w:val="001E1734"/>
    <w:rsid w:val="001E201C"/>
    <w:rsid w:val="001E24A4"/>
    <w:rsid w:val="001E25A4"/>
    <w:rsid w:val="001E2C9D"/>
    <w:rsid w:val="001E3472"/>
    <w:rsid w:val="001E44BB"/>
    <w:rsid w:val="001E4DB0"/>
    <w:rsid w:val="001E4F62"/>
    <w:rsid w:val="001E5192"/>
    <w:rsid w:val="001E5D09"/>
    <w:rsid w:val="001E60C6"/>
    <w:rsid w:val="001E652D"/>
    <w:rsid w:val="001E696F"/>
    <w:rsid w:val="001E6E8B"/>
    <w:rsid w:val="001E77F6"/>
    <w:rsid w:val="001F096A"/>
    <w:rsid w:val="001F0D1E"/>
    <w:rsid w:val="001F0DFA"/>
    <w:rsid w:val="001F20C3"/>
    <w:rsid w:val="001F2222"/>
    <w:rsid w:val="001F27F1"/>
    <w:rsid w:val="001F2896"/>
    <w:rsid w:val="001F2E53"/>
    <w:rsid w:val="001F2E9C"/>
    <w:rsid w:val="001F4370"/>
    <w:rsid w:val="001F5CEE"/>
    <w:rsid w:val="001F5F43"/>
    <w:rsid w:val="001F6872"/>
    <w:rsid w:val="001F6C43"/>
    <w:rsid w:val="001F702D"/>
    <w:rsid w:val="001F7175"/>
    <w:rsid w:val="001F775E"/>
    <w:rsid w:val="001F783C"/>
    <w:rsid w:val="001F7943"/>
    <w:rsid w:val="001F7A11"/>
    <w:rsid w:val="00200CB4"/>
    <w:rsid w:val="00201147"/>
    <w:rsid w:val="0020121F"/>
    <w:rsid w:val="00202510"/>
    <w:rsid w:val="00202AFC"/>
    <w:rsid w:val="00203711"/>
    <w:rsid w:val="00203860"/>
    <w:rsid w:val="002039C6"/>
    <w:rsid w:val="00203A2A"/>
    <w:rsid w:val="00203C4E"/>
    <w:rsid w:val="002046FB"/>
    <w:rsid w:val="002050F1"/>
    <w:rsid w:val="00205794"/>
    <w:rsid w:val="002059B3"/>
    <w:rsid w:val="00206E2C"/>
    <w:rsid w:val="00207CB6"/>
    <w:rsid w:val="002105E7"/>
    <w:rsid w:val="00210ABE"/>
    <w:rsid w:val="00210D95"/>
    <w:rsid w:val="002111FE"/>
    <w:rsid w:val="00211284"/>
    <w:rsid w:val="00212019"/>
    <w:rsid w:val="002128D6"/>
    <w:rsid w:val="00213C02"/>
    <w:rsid w:val="00213DBC"/>
    <w:rsid w:val="00215371"/>
    <w:rsid w:val="00215981"/>
    <w:rsid w:val="00216AF1"/>
    <w:rsid w:val="0021704B"/>
    <w:rsid w:val="00217E19"/>
    <w:rsid w:val="00217F90"/>
    <w:rsid w:val="002204B4"/>
    <w:rsid w:val="00220959"/>
    <w:rsid w:val="00220960"/>
    <w:rsid w:val="00221750"/>
    <w:rsid w:val="00221E87"/>
    <w:rsid w:val="0022255F"/>
    <w:rsid w:val="002228D3"/>
    <w:rsid w:val="00222A2D"/>
    <w:rsid w:val="00222F4E"/>
    <w:rsid w:val="002238EC"/>
    <w:rsid w:val="00224CF1"/>
    <w:rsid w:val="002253B7"/>
    <w:rsid w:val="00225757"/>
    <w:rsid w:val="002266F8"/>
    <w:rsid w:val="002274A3"/>
    <w:rsid w:val="002274DC"/>
    <w:rsid w:val="002308AD"/>
    <w:rsid w:val="00230A11"/>
    <w:rsid w:val="00231481"/>
    <w:rsid w:val="00232244"/>
    <w:rsid w:val="00232684"/>
    <w:rsid w:val="00232899"/>
    <w:rsid w:val="002328F8"/>
    <w:rsid w:val="00232C47"/>
    <w:rsid w:val="00233512"/>
    <w:rsid w:val="00233862"/>
    <w:rsid w:val="0023448D"/>
    <w:rsid w:val="00234F6E"/>
    <w:rsid w:val="00235DE0"/>
    <w:rsid w:val="0023684B"/>
    <w:rsid w:val="00237012"/>
    <w:rsid w:val="00237727"/>
    <w:rsid w:val="00237AE3"/>
    <w:rsid w:val="00237AF2"/>
    <w:rsid w:val="00240342"/>
    <w:rsid w:val="00240709"/>
    <w:rsid w:val="00240A3B"/>
    <w:rsid w:val="00240AB8"/>
    <w:rsid w:val="00240EE6"/>
    <w:rsid w:val="00241014"/>
    <w:rsid w:val="00241175"/>
    <w:rsid w:val="00241CF1"/>
    <w:rsid w:val="00242577"/>
    <w:rsid w:val="0024287B"/>
    <w:rsid w:val="00243277"/>
    <w:rsid w:val="00243980"/>
    <w:rsid w:val="0024408C"/>
    <w:rsid w:val="00244231"/>
    <w:rsid w:val="00244A86"/>
    <w:rsid w:val="00244E24"/>
    <w:rsid w:val="002459BB"/>
    <w:rsid w:val="00245B38"/>
    <w:rsid w:val="00246AED"/>
    <w:rsid w:val="00246D00"/>
    <w:rsid w:val="00247B6A"/>
    <w:rsid w:val="00247E00"/>
    <w:rsid w:val="00251A46"/>
    <w:rsid w:val="00251C84"/>
    <w:rsid w:val="002521A8"/>
    <w:rsid w:val="00253F53"/>
    <w:rsid w:val="00254944"/>
    <w:rsid w:val="002557A1"/>
    <w:rsid w:val="002557FC"/>
    <w:rsid w:val="00255E61"/>
    <w:rsid w:val="0025613F"/>
    <w:rsid w:val="00257166"/>
    <w:rsid w:val="00257CF5"/>
    <w:rsid w:val="002602B0"/>
    <w:rsid w:val="00260346"/>
    <w:rsid w:val="00260B2D"/>
    <w:rsid w:val="002619AC"/>
    <w:rsid w:val="00262ECA"/>
    <w:rsid w:val="00263C07"/>
    <w:rsid w:val="002643A9"/>
    <w:rsid w:val="00264A57"/>
    <w:rsid w:val="00265172"/>
    <w:rsid w:val="0026523B"/>
    <w:rsid w:val="0026525A"/>
    <w:rsid w:val="002652CE"/>
    <w:rsid w:val="00265D16"/>
    <w:rsid w:val="0026715B"/>
    <w:rsid w:val="002675D8"/>
    <w:rsid w:val="002677F0"/>
    <w:rsid w:val="00267DDE"/>
    <w:rsid w:val="00267DE2"/>
    <w:rsid w:val="00270838"/>
    <w:rsid w:val="002713D0"/>
    <w:rsid w:val="00272292"/>
    <w:rsid w:val="00273078"/>
    <w:rsid w:val="002740D0"/>
    <w:rsid w:val="00274B7E"/>
    <w:rsid w:val="00275DAD"/>
    <w:rsid w:val="00275E26"/>
    <w:rsid w:val="0027603E"/>
    <w:rsid w:val="00277811"/>
    <w:rsid w:val="002810CC"/>
    <w:rsid w:val="00281EB4"/>
    <w:rsid w:val="00282BCC"/>
    <w:rsid w:val="00282FAC"/>
    <w:rsid w:val="00283B3E"/>
    <w:rsid w:val="00284362"/>
    <w:rsid w:val="00284908"/>
    <w:rsid w:val="00285005"/>
    <w:rsid w:val="0028584C"/>
    <w:rsid w:val="00286109"/>
    <w:rsid w:val="0028612D"/>
    <w:rsid w:val="002869F2"/>
    <w:rsid w:val="00287639"/>
    <w:rsid w:val="00287E10"/>
    <w:rsid w:val="00287EEA"/>
    <w:rsid w:val="002900F2"/>
    <w:rsid w:val="00291171"/>
    <w:rsid w:val="002917D6"/>
    <w:rsid w:val="002921DD"/>
    <w:rsid w:val="002929A6"/>
    <w:rsid w:val="00292CE2"/>
    <w:rsid w:val="002938C7"/>
    <w:rsid w:val="00295AAD"/>
    <w:rsid w:val="00297D07"/>
    <w:rsid w:val="002A02F6"/>
    <w:rsid w:val="002A04E2"/>
    <w:rsid w:val="002A0929"/>
    <w:rsid w:val="002A12D7"/>
    <w:rsid w:val="002A1CD4"/>
    <w:rsid w:val="002A2CE9"/>
    <w:rsid w:val="002A39C7"/>
    <w:rsid w:val="002A4819"/>
    <w:rsid w:val="002A5087"/>
    <w:rsid w:val="002A5B89"/>
    <w:rsid w:val="002A615C"/>
    <w:rsid w:val="002A6631"/>
    <w:rsid w:val="002A67BA"/>
    <w:rsid w:val="002A6D50"/>
    <w:rsid w:val="002A6E2E"/>
    <w:rsid w:val="002A6EDA"/>
    <w:rsid w:val="002A7CAD"/>
    <w:rsid w:val="002B097D"/>
    <w:rsid w:val="002B0DFC"/>
    <w:rsid w:val="002B15F0"/>
    <w:rsid w:val="002B1BF7"/>
    <w:rsid w:val="002B1DC8"/>
    <w:rsid w:val="002B209B"/>
    <w:rsid w:val="002B2498"/>
    <w:rsid w:val="002B2D67"/>
    <w:rsid w:val="002B2F22"/>
    <w:rsid w:val="002B2FE7"/>
    <w:rsid w:val="002B366B"/>
    <w:rsid w:val="002B36BB"/>
    <w:rsid w:val="002B3AD9"/>
    <w:rsid w:val="002B4477"/>
    <w:rsid w:val="002B4820"/>
    <w:rsid w:val="002B50C9"/>
    <w:rsid w:val="002B5F44"/>
    <w:rsid w:val="002B61E1"/>
    <w:rsid w:val="002B6255"/>
    <w:rsid w:val="002B625B"/>
    <w:rsid w:val="002B6286"/>
    <w:rsid w:val="002B6664"/>
    <w:rsid w:val="002B6D38"/>
    <w:rsid w:val="002B7408"/>
    <w:rsid w:val="002B75E6"/>
    <w:rsid w:val="002B7847"/>
    <w:rsid w:val="002B7957"/>
    <w:rsid w:val="002C0998"/>
    <w:rsid w:val="002C0BFB"/>
    <w:rsid w:val="002C0DE8"/>
    <w:rsid w:val="002C1497"/>
    <w:rsid w:val="002C187E"/>
    <w:rsid w:val="002C1A24"/>
    <w:rsid w:val="002C2C72"/>
    <w:rsid w:val="002C2F81"/>
    <w:rsid w:val="002C4274"/>
    <w:rsid w:val="002C4DD7"/>
    <w:rsid w:val="002C4EDF"/>
    <w:rsid w:val="002C54EA"/>
    <w:rsid w:val="002C5D2E"/>
    <w:rsid w:val="002C5DE7"/>
    <w:rsid w:val="002C6119"/>
    <w:rsid w:val="002C6476"/>
    <w:rsid w:val="002C6F66"/>
    <w:rsid w:val="002C6FA4"/>
    <w:rsid w:val="002C7DE9"/>
    <w:rsid w:val="002D0F2B"/>
    <w:rsid w:val="002D1081"/>
    <w:rsid w:val="002D16EF"/>
    <w:rsid w:val="002D1C33"/>
    <w:rsid w:val="002D1DBE"/>
    <w:rsid w:val="002D214E"/>
    <w:rsid w:val="002D218D"/>
    <w:rsid w:val="002D21CF"/>
    <w:rsid w:val="002D231D"/>
    <w:rsid w:val="002D245D"/>
    <w:rsid w:val="002D2E38"/>
    <w:rsid w:val="002D3F4E"/>
    <w:rsid w:val="002D4929"/>
    <w:rsid w:val="002D5219"/>
    <w:rsid w:val="002D5E9D"/>
    <w:rsid w:val="002D5F4F"/>
    <w:rsid w:val="002D6AA7"/>
    <w:rsid w:val="002D71DB"/>
    <w:rsid w:val="002D770D"/>
    <w:rsid w:val="002E1301"/>
    <w:rsid w:val="002E15D6"/>
    <w:rsid w:val="002E16C7"/>
    <w:rsid w:val="002E196C"/>
    <w:rsid w:val="002E1ADD"/>
    <w:rsid w:val="002E4E72"/>
    <w:rsid w:val="002E531F"/>
    <w:rsid w:val="002E5403"/>
    <w:rsid w:val="002E5654"/>
    <w:rsid w:val="002E6D58"/>
    <w:rsid w:val="002E6E4E"/>
    <w:rsid w:val="002E6F1F"/>
    <w:rsid w:val="002E70C6"/>
    <w:rsid w:val="002E7226"/>
    <w:rsid w:val="002E7651"/>
    <w:rsid w:val="002E770A"/>
    <w:rsid w:val="002F0088"/>
    <w:rsid w:val="002F0589"/>
    <w:rsid w:val="002F0710"/>
    <w:rsid w:val="002F0D36"/>
    <w:rsid w:val="002F14B8"/>
    <w:rsid w:val="002F1606"/>
    <w:rsid w:val="002F5A78"/>
    <w:rsid w:val="002F5BB5"/>
    <w:rsid w:val="002F6612"/>
    <w:rsid w:val="002F699A"/>
    <w:rsid w:val="002F6F1D"/>
    <w:rsid w:val="002F6FB2"/>
    <w:rsid w:val="002F7FB0"/>
    <w:rsid w:val="002F7FFB"/>
    <w:rsid w:val="003007F2"/>
    <w:rsid w:val="00301015"/>
    <w:rsid w:val="0030102C"/>
    <w:rsid w:val="00301A7A"/>
    <w:rsid w:val="00301E57"/>
    <w:rsid w:val="00304F81"/>
    <w:rsid w:val="0030534B"/>
    <w:rsid w:val="00305925"/>
    <w:rsid w:val="003065E1"/>
    <w:rsid w:val="0030748C"/>
    <w:rsid w:val="00307949"/>
    <w:rsid w:val="00307A84"/>
    <w:rsid w:val="00310126"/>
    <w:rsid w:val="0031029B"/>
    <w:rsid w:val="003112E8"/>
    <w:rsid w:val="003115CA"/>
    <w:rsid w:val="003116BD"/>
    <w:rsid w:val="00312CD4"/>
    <w:rsid w:val="00313071"/>
    <w:rsid w:val="00313197"/>
    <w:rsid w:val="003134ED"/>
    <w:rsid w:val="00314B8E"/>
    <w:rsid w:val="003156CF"/>
    <w:rsid w:val="00316A08"/>
    <w:rsid w:val="00316FB7"/>
    <w:rsid w:val="00317165"/>
    <w:rsid w:val="0031721A"/>
    <w:rsid w:val="003179DE"/>
    <w:rsid w:val="00317DD4"/>
    <w:rsid w:val="00320789"/>
    <w:rsid w:val="00320A61"/>
    <w:rsid w:val="00321857"/>
    <w:rsid w:val="003219D4"/>
    <w:rsid w:val="00321F34"/>
    <w:rsid w:val="00321FA3"/>
    <w:rsid w:val="00322286"/>
    <w:rsid w:val="00322BAC"/>
    <w:rsid w:val="00322CB5"/>
    <w:rsid w:val="0032300F"/>
    <w:rsid w:val="00323256"/>
    <w:rsid w:val="00323576"/>
    <w:rsid w:val="00324010"/>
    <w:rsid w:val="003247C8"/>
    <w:rsid w:val="00324F16"/>
    <w:rsid w:val="0032572F"/>
    <w:rsid w:val="00326D65"/>
    <w:rsid w:val="00326E8B"/>
    <w:rsid w:val="003300B5"/>
    <w:rsid w:val="003304A2"/>
    <w:rsid w:val="0033050D"/>
    <w:rsid w:val="003306D4"/>
    <w:rsid w:val="00330DDE"/>
    <w:rsid w:val="00332785"/>
    <w:rsid w:val="0033278F"/>
    <w:rsid w:val="00332D8C"/>
    <w:rsid w:val="00333CFE"/>
    <w:rsid w:val="00334C65"/>
    <w:rsid w:val="00334D71"/>
    <w:rsid w:val="00336228"/>
    <w:rsid w:val="00336DAA"/>
    <w:rsid w:val="003373E2"/>
    <w:rsid w:val="00337C62"/>
    <w:rsid w:val="00340202"/>
    <w:rsid w:val="00340D0B"/>
    <w:rsid w:val="00341041"/>
    <w:rsid w:val="003419BF"/>
    <w:rsid w:val="0034328E"/>
    <w:rsid w:val="003435AE"/>
    <w:rsid w:val="003437B3"/>
    <w:rsid w:val="00343EE2"/>
    <w:rsid w:val="00343FC2"/>
    <w:rsid w:val="0034401B"/>
    <w:rsid w:val="0034404A"/>
    <w:rsid w:val="00344903"/>
    <w:rsid w:val="00344A7B"/>
    <w:rsid w:val="00345DA5"/>
    <w:rsid w:val="00346A0E"/>
    <w:rsid w:val="00346E3D"/>
    <w:rsid w:val="00347341"/>
    <w:rsid w:val="0034762E"/>
    <w:rsid w:val="00347A65"/>
    <w:rsid w:val="00347AF9"/>
    <w:rsid w:val="00350551"/>
    <w:rsid w:val="00352019"/>
    <w:rsid w:val="0035211E"/>
    <w:rsid w:val="003522E7"/>
    <w:rsid w:val="003523E0"/>
    <w:rsid w:val="00352591"/>
    <w:rsid w:val="003555C8"/>
    <w:rsid w:val="00355651"/>
    <w:rsid w:val="00355BE8"/>
    <w:rsid w:val="00356676"/>
    <w:rsid w:val="00356826"/>
    <w:rsid w:val="003576CF"/>
    <w:rsid w:val="00357B8C"/>
    <w:rsid w:val="00360642"/>
    <w:rsid w:val="00361A3C"/>
    <w:rsid w:val="00361C3C"/>
    <w:rsid w:val="003620D6"/>
    <w:rsid w:val="003643C3"/>
    <w:rsid w:val="00364BF3"/>
    <w:rsid w:val="00364F89"/>
    <w:rsid w:val="003656A1"/>
    <w:rsid w:val="00366E8D"/>
    <w:rsid w:val="003673F7"/>
    <w:rsid w:val="003674A6"/>
    <w:rsid w:val="003674E4"/>
    <w:rsid w:val="00367FE3"/>
    <w:rsid w:val="00371145"/>
    <w:rsid w:val="003714D2"/>
    <w:rsid w:val="00372C96"/>
    <w:rsid w:val="00373FC2"/>
    <w:rsid w:val="00374493"/>
    <w:rsid w:val="003745B9"/>
    <w:rsid w:val="00374778"/>
    <w:rsid w:val="00374949"/>
    <w:rsid w:val="00375670"/>
    <w:rsid w:val="00376777"/>
    <w:rsid w:val="0038027B"/>
    <w:rsid w:val="00380F63"/>
    <w:rsid w:val="003811E7"/>
    <w:rsid w:val="00381440"/>
    <w:rsid w:val="00381B89"/>
    <w:rsid w:val="00382834"/>
    <w:rsid w:val="00382F30"/>
    <w:rsid w:val="003837A5"/>
    <w:rsid w:val="003842B1"/>
    <w:rsid w:val="00385A11"/>
    <w:rsid w:val="00385FE9"/>
    <w:rsid w:val="0038670F"/>
    <w:rsid w:val="0038690F"/>
    <w:rsid w:val="00386BAA"/>
    <w:rsid w:val="003873C9"/>
    <w:rsid w:val="00391240"/>
    <w:rsid w:val="00392044"/>
    <w:rsid w:val="003921B6"/>
    <w:rsid w:val="0039269F"/>
    <w:rsid w:val="0039288E"/>
    <w:rsid w:val="00392C72"/>
    <w:rsid w:val="00392F34"/>
    <w:rsid w:val="003939C7"/>
    <w:rsid w:val="00394214"/>
    <w:rsid w:val="00394647"/>
    <w:rsid w:val="0039592B"/>
    <w:rsid w:val="003970BA"/>
    <w:rsid w:val="00397713"/>
    <w:rsid w:val="00397DC7"/>
    <w:rsid w:val="003A0338"/>
    <w:rsid w:val="003A03FA"/>
    <w:rsid w:val="003A0408"/>
    <w:rsid w:val="003A05B4"/>
    <w:rsid w:val="003A064A"/>
    <w:rsid w:val="003A0D19"/>
    <w:rsid w:val="003A202C"/>
    <w:rsid w:val="003A2120"/>
    <w:rsid w:val="003A2A57"/>
    <w:rsid w:val="003A2C02"/>
    <w:rsid w:val="003A44AD"/>
    <w:rsid w:val="003A467D"/>
    <w:rsid w:val="003A53F8"/>
    <w:rsid w:val="003A5BAE"/>
    <w:rsid w:val="003A5CD0"/>
    <w:rsid w:val="003A6146"/>
    <w:rsid w:val="003A623D"/>
    <w:rsid w:val="003A6444"/>
    <w:rsid w:val="003A68F0"/>
    <w:rsid w:val="003B020B"/>
    <w:rsid w:val="003B0F35"/>
    <w:rsid w:val="003B1398"/>
    <w:rsid w:val="003B16F3"/>
    <w:rsid w:val="003B1BB7"/>
    <w:rsid w:val="003B1FF2"/>
    <w:rsid w:val="003B270A"/>
    <w:rsid w:val="003B2F55"/>
    <w:rsid w:val="003B31DA"/>
    <w:rsid w:val="003B320B"/>
    <w:rsid w:val="003B41E1"/>
    <w:rsid w:val="003B44A8"/>
    <w:rsid w:val="003B46AC"/>
    <w:rsid w:val="003B59B0"/>
    <w:rsid w:val="003B5C59"/>
    <w:rsid w:val="003B6073"/>
    <w:rsid w:val="003B6456"/>
    <w:rsid w:val="003B6574"/>
    <w:rsid w:val="003B6F56"/>
    <w:rsid w:val="003B705E"/>
    <w:rsid w:val="003B78E2"/>
    <w:rsid w:val="003B7FC2"/>
    <w:rsid w:val="003C0379"/>
    <w:rsid w:val="003C0471"/>
    <w:rsid w:val="003C196F"/>
    <w:rsid w:val="003C1D92"/>
    <w:rsid w:val="003C2153"/>
    <w:rsid w:val="003C2337"/>
    <w:rsid w:val="003C273A"/>
    <w:rsid w:val="003C55BC"/>
    <w:rsid w:val="003C6919"/>
    <w:rsid w:val="003C7095"/>
    <w:rsid w:val="003C7171"/>
    <w:rsid w:val="003C7B9E"/>
    <w:rsid w:val="003D0029"/>
    <w:rsid w:val="003D19BA"/>
    <w:rsid w:val="003D2C59"/>
    <w:rsid w:val="003D377F"/>
    <w:rsid w:val="003D3B2D"/>
    <w:rsid w:val="003D4450"/>
    <w:rsid w:val="003D5090"/>
    <w:rsid w:val="003D5A63"/>
    <w:rsid w:val="003D5CA4"/>
    <w:rsid w:val="003D5FB4"/>
    <w:rsid w:val="003D68AE"/>
    <w:rsid w:val="003D6E25"/>
    <w:rsid w:val="003D7589"/>
    <w:rsid w:val="003D775E"/>
    <w:rsid w:val="003D7B5B"/>
    <w:rsid w:val="003D7EB0"/>
    <w:rsid w:val="003E0D87"/>
    <w:rsid w:val="003E0E98"/>
    <w:rsid w:val="003E0EF4"/>
    <w:rsid w:val="003E1563"/>
    <w:rsid w:val="003E179C"/>
    <w:rsid w:val="003E1A92"/>
    <w:rsid w:val="003E414D"/>
    <w:rsid w:val="003E418D"/>
    <w:rsid w:val="003E48FF"/>
    <w:rsid w:val="003E57A7"/>
    <w:rsid w:val="003E60BB"/>
    <w:rsid w:val="003E642B"/>
    <w:rsid w:val="003E658A"/>
    <w:rsid w:val="003E6AC1"/>
    <w:rsid w:val="003E70DB"/>
    <w:rsid w:val="003F0479"/>
    <w:rsid w:val="003F0E1C"/>
    <w:rsid w:val="003F14BF"/>
    <w:rsid w:val="003F25B7"/>
    <w:rsid w:val="003F2BAB"/>
    <w:rsid w:val="003F3C6B"/>
    <w:rsid w:val="003F4432"/>
    <w:rsid w:val="003F4B7D"/>
    <w:rsid w:val="003F513B"/>
    <w:rsid w:val="003F5301"/>
    <w:rsid w:val="003F54BD"/>
    <w:rsid w:val="003F623F"/>
    <w:rsid w:val="003F7632"/>
    <w:rsid w:val="003F7BA2"/>
    <w:rsid w:val="003F7FE3"/>
    <w:rsid w:val="00400C41"/>
    <w:rsid w:val="004029A3"/>
    <w:rsid w:val="00402C4A"/>
    <w:rsid w:val="004033D7"/>
    <w:rsid w:val="00403DC8"/>
    <w:rsid w:val="00404DE8"/>
    <w:rsid w:val="00404E7A"/>
    <w:rsid w:val="0040522F"/>
    <w:rsid w:val="00406157"/>
    <w:rsid w:val="00406EE0"/>
    <w:rsid w:val="00406F2B"/>
    <w:rsid w:val="0040767B"/>
    <w:rsid w:val="0040767C"/>
    <w:rsid w:val="00410B19"/>
    <w:rsid w:val="00410B45"/>
    <w:rsid w:val="00411E3C"/>
    <w:rsid w:val="004127F5"/>
    <w:rsid w:val="00412C90"/>
    <w:rsid w:val="004133C9"/>
    <w:rsid w:val="004137E4"/>
    <w:rsid w:val="00414190"/>
    <w:rsid w:val="00414684"/>
    <w:rsid w:val="004149D9"/>
    <w:rsid w:val="004153EF"/>
    <w:rsid w:val="00416A8B"/>
    <w:rsid w:val="004172E9"/>
    <w:rsid w:val="00417FE4"/>
    <w:rsid w:val="00421038"/>
    <w:rsid w:val="004212F8"/>
    <w:rsid w:val="0042145E"/>
    <w:rsid w:val="00421CDE"/>
    <w:rsid w:val="00422488"/>
    <w:rsid w:val="00423364"/>
    <w:rsid w:val="00423796"/>
    <w:rsid w:val="00423BB7"/>
    <w:rsid w:val="00424272"/>
    <w:rsid w:val="00424A18"/>
    <w:rsid w:val="00424AD8"/>
    <w:rsid w:val="00425775"/>
    <w:rsid w:val="00425B02"/>
    <w:rsid w:val="00426853"/>
    <w:rsid w:val="0042760A"/>
    <w:rsid w:val="0042764F"/>
    <w:rsid w:val="00427A75"/>
    <w:rsid w:val="00430051"/>
    <w:rsid w:val="00430971"/>
    <w:rsid w:val="00431092"/>
    <w:rsid w:val="00431361"/>
    <w:rsid w:val="00432726"/>
    <w:rsid w:val="004328D1"/>
    <w:rsid w:val="00433135"/>
    <w:rsid w:val="00433885"/>
    <w:rsid w:val="00433990"/>
    <w:rsid w:val="00433D52"/>
    <w:rsid w:val="00433EFF"/>
    <w:rsid w:val="00434EE7"/>
    <w:rsid w:val="00434FC0"/>
    <w:rsid w:val="00435865"/>
    <w:rsid w:val="004362F1"/>
    <w:rsid w:val="00436526"/>
    <w:rsid w:val="004365F0"/>
    <w:rsid w:val="004369B0"/>
    <w:rsid w:val="0043729B"/>
    <w:rsid w:val="0043768D"/>
    <w:rsid w:val="004377C6"/>
    <w:rsid w:val="00437ABD"/>
    <w:rsid w:val="00437B1C"/>
    <w:rsid w:val="00437FD2"/>
    <w:rsid w:val="00440906"/>
    <w:rsid w:val="00440E47"/>
    <w:rsid w:val="00441655"/>
    <w:rsid w:val="004416C8"/>
    <w:rsid w:val="004417C6"/>
    <w:rsid w:val="00441BF0"/>
    <w:rsid w:val="00442563"/>
    <w:rsid w:val="00442609"/>
    <w:rsid w:val="00442E34"/>
    <w:rsid w:val="0044407B"/>
    <w:rsid w:val="00444829"/>
    <w:rsid w:val="00445644"/>
    <w:rsid w:val="00446027"/>
    <w:rsid w:val="00446D75"/>
    <w:rsid w:val="00446F93"/>
    <w:rsid w:val="00447F52"/>
    <w:rsid w:val="00450392"/>
    <w:rsid w:val="004509F9"/>
    <w:rsid w:val="00450A65"/>
    <w:rsid w:val="00450EF6"/>
    <w:rsid w:val="0045129C"/>
    <w:rsid w:val="00451AFA"/>
    <w:rsid w:val="00451BAF"/>
    <w:rsid w:val="00451F9D"/>
    <w:rsid w:val="00452277"/>
    <w:rsid w:val="00452573"/>
    <w:rsid w:val="00452C9A"/>
    <w:rsid w:val="00452CA6"/>
    <w:rsid w:val="0045315F"/>
    <w:rsid w:val="00453A09"/>
    <w:rsid w:val="004545C2"/>
    <w:rsid w:val="004547A8"/>
    <w:rsid w:val="004548F4"/>
    <w:rsid w:val="00454D25"/>
    <w:rsid w:val="00454D8C"/>
    <w:rsid w:val="00455D9E"/>
    <w:rsid w:val="0045679A"/>
    <w:rsid w:val="00456A30"/>
    <w:rsid w:val="00456C58"/>
    <w:rsid w:val="00456EB2"/>
    <w:rsid w:val="004603C0"/>
    <w:rsid w:val="00460492"/>
    <w:rsid w:val="004606D8"/>
    <w:rsid w:val="004611F5"/>
    <w:rsid w:val="004624A2"/>
    <w:rsid w:val="00462A43"/>
    <w:rsid w:val="0046336A"/>
    <w:rsid w:val="00464F59"/>
    <w:rsid w:val="004651F1"/>
    <w:rsid w:val="0046542A"/>
    <w:rsid w:val="00466CA3"/>
    <w:rsid w:val="00467583"/>
    <w:rsid w:val="00467620"/>
    <w:rsid w:val="00470290"/>
    <w:rsid w:val="00470AAD"/>
    <w:rsid w:val="00471184"/>
    <w:rsid w:val="00471569"/>
    <w:rsid w:val="00471698"/>
    <w:rsid w:val="004724DC"/>
    <w:rsid w:val="004726EE"/>
    <w:rsid w:val="0047271A"/>
    <w:rsid w:val="00472D1F"/>
    <w:rsid w:val="004735C4"/>
    <w:rsid w:val="00473A30"/>
    <w:rsid w:val="00473B8E"/>
    <w:rsid w:val="00474093"/>
    <w:rsid w:val="00474B92"/>
    <w:rsid w:val="00475914"/>
    <w:rsid w:val="00476E23"/>
    <w:rsid w:val="00477481"/>
    <w:rsid w:val="004778D8"/>
    <w:rsid w:val="00477E60"/>
    <w:rsid w:val="00477EC2"/>
    <w:rsid w:val="00480777"/>
    <w:rsid w:val="00481532"/>
    <w:rsid w:val="004817C4"/>
    <w:rsid w:val="0048259F"/>
    <w:rsid w:val="004827B6"/>
    <w:rsid w:val="00482D69"/>
    <w:rsid w:val="00482D6C"/>
    <w:rsid w:val="0048378E"/>
    <w:rsid w:val="00483D3F"/>
    <w:rsid w:val="0048439B"/>
    <w:rsid w:val="00484623"/>
    <w:rsid w:val="00484B0B"/>
    <w:rsid w:val="00485231"/>
    <w:rsid w:val="0048588C"/>
    <w:rsid w:val="0048594C"/>
    <w:rsid w:val="00487AA6"/>
    <w:rsid w:val="00487D63"/>
    <w:rsid w:val="00487E01"/>
    <w:rsid w:val="00487EF5"/>
    <w:rsid w:val="00487FFD"/>
    <w:rsid w:val="004903FB"/>
    <w:rsid w:val="00490934"/>
    <w:rsid w:val="00491040"/>
    <w:rsid w:val="00491773"/>
    <w:rsid w:val="00491ACD"/>
    <w:rsid w:val="00491D6A"/>
    <w:rsid w:val="00492093"/>
    <w:rsid w:val="00492EAB"/>
    <w:rsid w:val="004934CE"/>
    <w:rsid w:val="004940AB"/>
    <w:rsid w:val="00494A81"/>
    <w:rsid w:val="00495055"/>
    <w:rsid w:val="0049592C"/>
    <w:rsid w:val="00496CB2"/>
    <w:rsid w:val="004979D0"/>
    <w:rsid w:val="004A0113"/>
    <w:rsid w:val="004A0358"/>
    <w:rsid w:val="004A0672"/>
    <w:rsid w:val="004A0710"/>
    <w:rsid w:val="004A10A6"/>
    <w:rsid w:val="004A2A15"/>
    <w:rsid w:val="004A2F1B"/>
    <w:rsid w:val="004A31B6"/>
    <w:rsid w:val="004A3DE5"/>
    <w:rsid w:val="004A3E32"/>
    <w:rsid w:val="004A4632"/>
    <w:rsid w:val="004A4A11"/>
    <w:rsid w:val="004A5B4C"/>
    <w:rsid w:val="004A5CE7"/>
    <w:rsid w:val="004A6769"/>
    <w:rsid w:val="004A7175"/>
    <w:rsid w:val="004A7B03"/>
    <w:rsid w:val="004A7C91"/>
    <w:rsid w:val="004B0650"/>
    <w:rsid w:val="004B08BF"/>
    <w:rsid w:val="004B0F09"/>
    <w:rsid w:val="004B0F1E"/>
    <w:rsid w:val="004B11F1"/>
    <w:rsid w:val="004B1549"/>
    <w:rsid w:val="004B2202"/>
    <w:rsid w:val="004B29AF"/>
    <w:rsid w:val="004B3C63"/>
    <w:rsid w:val="004B4A34"/>
    <w:rsid w:val="004B4F17"/>
    <w:rsid w:val="004B5D5B"/>
    <w:rsid w:val="004B63AE"/>
    <w:rsid w:val="004B6495"/>
    <w:rsid w:val="004B73DC"/>
    <w:rsid w:val="004B77B0"/>
    <w:rsid w:val="004C0109"/>
    <w:rsid w:val="004C0217"/>
    <w:rsid w:val="004C1030"/>
    <w:rsid w:val="004C12BB"/>
    <w:rsid w:val="004C17B8"/>
    <w:rsid w:val="004C2367"/>
    <w:rsid w:val="004C244D"/>
    <w:rsid w:val="004C24F6"/>
    <w:rsid w:val="004C2530"/>
    <w:rsid w:val="004C3BB3"/>
    <w:rsid w:val="004C3E42"/>
    <w:rsid w:val="004C3F88"/>
    <w:rsid w:val="004C41D3"/>
    <w:rsid w:val="004C4C98"/>
    <w:rsid w:val="004C5B75"/>
    <w:rsid w:val="004C5BAC"/>
    <w:rsid w:val="004C60BD"/>
    <w:rsid w:val="004C62E3"/>
    <w:rsid w:val="004C6999"/>
    <w:rsid w:val="004C6BE4"/>
    <w:rsid w:val="004C6F91"/>
    <w:rsid w:val="004D02CC"/>
    <w:rsid w:val="004D0746"/>
    <w:rsid w:val="004D1890"/>
    <w:rsid w:val="004D1E96"/>
    <w:rsid w:val="004D1FDD"/>
    <w:rsid w:val="004D2CCF"/>
    <w:rsid w:val="004D3194"/>
    <w:rsid w:val="004D429F"/>
    <w:rsid w:val="004D482A"/>
    <w:rsid w:val="004D4DCD"/>
    <w:rsid w:val="004D547D"/>
    <w:rsid w:val="004D5D0F"/>
    <w:rsid w:val="004D601C"/>
    <w:rsid w:val="004D6142"/>
    <w:rsid w:val="004D7019"/>
    <w:rsid w:val="004D7410"/>
    <w:rsid w:val="004D7771"/>
    <w:rsid w:val="004D7BFC"/>
    <w:rsid w:val="004E1061"/>
    <w:rsid w:val="004E1572"/>
    <w:rsid w:val="004E28AF"/>
    <w:rsid w:val="004E2913"/>
    <w:rsid w:val="004E2C4B"/>
    <w:rsid w:val="004E3758"/>
    <w:rsid w:val="004E3A55"/>
    <w:rsid w:val="004E4013"/>
    <w:rsid w:val="004E4088"/>
    <w:rsid w:val="004E5CCC"/>
    <w:rsid w:val="004E67D8"/>
    <w:rsid w:val="004E6AEA"/>
    <w:rsid w:val="004E6B1B"/>
    <w:rsid w:val="004E6CEB"/>
    <w:rsid w:val="004E7B56"/>
    <w:rsid w:val="004E7CA5"/>
    <w:rsid w:val="004E7E14"/>
    <w:rsid w:val="004F053F"/>
    <w:rsid w:val="004F07D7"/>
    <w:rsid w:val="004F0920"/>
    <w:rsid w:val="004F100C"/>
    <w:rsid w:val="004F11DF"/>
    <w:rsid w:val="004F175F"/>
    <w:rsid w:val="004F2310"/>
    <w:rsid w:val="004F3272"/>
    <w:rsid w:val="004F37BE"/>
    <w:rsid w:val="004F4159"/>
    <w:rsid w:val="004F41E7"/>
    <w:rsid w:val="004F493B"/>
    <w:rsid w:val="004F4A2B"/>
    <w:rsid w:val="004F4B2F"/>
    <w:rsid w:val="004F5319"/>
    <w:rsid w:val="004F7952"/>
    <w:rsid w:val="004F7AB3"/>
    <w:rsid w:val="00500332"/>
    <w:rsid w:val="005007B8"/>
    <w:rsid w:val="00500C00"/>
    <w:rsid w:val="00500F82"/>
    <w:rsid w:val="0050121B"/>
    <w:rsid w:val="00501C4B"/>
    <w:rsid w:val="00502203"/>
    <w:rsid w:val="00502672"/>
    <w:rsid w:val="0050297B"/>
    <w:rsid w:val="00502EE1"/>
    <w:rsid w:val="00502F54"/>
    <w:rsid w:val="00503078"/>
    <w:rsid w:val="005034F1"/>
    <w:rsid w:val="00503562"/>
    <w:rsid w:val="00503A45"/>
    <w:rsid w:val="00504399"/>
    <w:rsid w:val="00505648"/>
    <w:rsid w:val="00505A56"/>
    <w:rsid w:val="005060C0"/>
    <w:rsid w:val="0050629C"/>
    <w:rsid w:val="00506FE9"/>
    <w:rsid w:val="00507EC2"/>
    <w:rsid w:val="0051143D"/>
    <w:rsid w:val="005116BE"/>
    <w:rsid w:val="00511AB2"/>
    <w:rsid w:val="00511BFE"/>
    <w:rsid w:val="005125EA"/>
    <w:rsid w:val="00512BC0"/>
    <w:rsid w:val="00512FE0"/>
    <w:rsid w:val="00513C1D"/>
    <w:rsid w:val="00513E14"/>
    <w:rsid w:val="005148C1"/>
    <w:rsid w:val="00514D47"/>
    <w:rsid w:val="0051507F"/>
    <w:rsid w:val="0051544A"/>
    <w:rsid w:val="005155A1"/>
    <w:rsid w:val="00515888"/>
    <w:rsid w:val="005158CA"/>
    <w:rsid w:val="00516472"/>
    <w:rsid w:val="0051684A"/>
    <w:rsid w:val="00517750"/>
    <w:rsid w:val="005177C9"/>
    <w:rsid w:val="0052062B"/>
    <w:rsid w:val="00520A5D"/>
    <w:rsid w:val="00521B47"/>
    <w:rsid w:val="005222C1"/>
    <w:rsid w:val="005225E7"/>
    <w:rsid w:val="0052306A"/>
    <w:rsid w:val="0052380A"/>
    <w:rsid w:val="00523E35"/>
    <w:rsid w:val="00524878"/>
    <w:rsid w:val="00524892"/>
    <w:rsid w:val="0052496B"/>
    <w:rsid w:val="005252C6"/>
    <w:rsid w:val="00525D60"/>
    <w:rsid w:val="00527CA2"/>
    <w:rsid w:val="00530764"/>
    <w:rsid w:val="0053099D"/>
    <w:rsid w:val="00530EA9"/>
    <w:rsid w:val="00531341"/>
    <w:rsid w:val="0053203D"/>
    <w:rsid w:val="00532526"/>
    <w:rsid w:val="00532585"/>
    <w:rsid w:val="005326BA"/>
    <w:rsid w:val="00532D39"/>
    <w:rsid w:val="0053332A"/>
    <w:rsid w:val="0053381A"/>
    <w:rsid w:val="00533A80"/>
    <w:rsid w:val="00533CD5"/>
    <w:rsid w:val="00533D1D"/>
    <w:rsid w:val="00534341"/>
    <w:rsid w:val="00534CCD"/>
    <w:rsid w:val="00534E3E"/>
    <w:rsid w:val="00534EF1"/>
    <w:rsid w:val="00536085"/>
    <w:rsid w:val="0053613A"/>
    <w:rsid w:val="005365DD"/>
    <w:rsid w:val="005366A5"/>
    <w:rsid w:val="005366F7"/>
    <w:rsid w:val="00536A8B"/>
    <w:rsid w:val="00536D3F"/>
    <w:rsid w:val="00536F3F"/>
    <w:rsid w:val="0053785E"/>
    <w:rsid w:val="00537F1D"/>
    <w:rsid w:val="00537F62"/>
    <w:rsid w:val="0054056F"/>
    <w:rsid w:val="00540C78"/>
    <w:rsid w:val="00540E78"/>
    <w:rsid w:val="005421C9"/>
    <w:rsid w:val="00542A41"/>
    <w:rsid w:val="005430CE"/>
    <w:rsid w:val="00543226"/>
    <w:rsid w:val="005432C7"/>
    <w:rsid w:val="00543B68"/>
    <w:rsid w:val="00544405"/>
    <w:rsid w:val="00544FD1"/>
    <w:rsid w:val="0054587C"/>
    <w:rsid w:val="005461EB"/>
    <w:rsid w:val="005462DE"/>
    <w:rsid w:val="0054647B"/>
    <w:rsid w:val="005466E9"/>
    <w:rsid w:val="005474ED"/>
    <w:rsid w:val="0055066A"/>
    <w:rsid w:val="00551144"/>
    <w:rsid w:val="00551DD4"/>
    <w:rsid w:val="0055495A"/>
    <w:rsid w:val="00555DAD"/>
    <w:rsid w:val="0055675A"/>
    <w:rsid w:val="005571BE"/>
    <w:rsid w:val="00557FC5"/>
    <w:rsid w:val="005613D2"/>
    <w:rsid w:val="005615E5"/>
    <w:rsid w:val="00561AAB"/>
    <w:rsid w:val="00561F31"/>
    <w:rsid w:val="00563ED5"/>
    <w:rsid w:val="005647FA"/>
    <w:rsid w:val="0056542D"/>
    <w:rsid w:val="00565C65"/>
    <w:rsid w:val="00565EE1"/>
    <w:rsid w:val="005668E1"/>
    <w:rsid w:val="00566A1C"/>
    <w:rsid w:val="00567446"/>
    <w:rsid w:val="005700A1"/>
    <w:rsid w:val="00570D32"/>
    <w:rsid w:val="00571E3B"/>
    <w:rsid w:val="00572520"/>
    <w:rsid w:val="00572739"/>
    <w:rsid w:val="005727F3"/>
    <w:rsid w:val="005729BC"/>
    <w:rsid w:val="00572DB8"/>
    <w:rsid w:val="00572DC3"/>
    <w:rsid w:val="00573375"/>
    <w:rsid w:val="005745DE"/>
    <w:rsid w:val="005746B7"/>
    <w:rsid w:val="005748A9"/>
    <w:rsid w:val="00574D87"/>
    <w:rsid w:val="00575663"/>
    <w:rsid w:val="00575C22"/>
    <w:rsid w:val="00575F17"/>
    <w:rsid w:val="00576B64"/>
    <w:rsid w:val="00576F19"/>
    <w:rsid w:val="005771EB"/>
    <w:rsid w:val="00577434"/>
    <w:rsid w:val="00577539"/>
    <w:rsid w:val="0057796C"/>
    <w:rsid w:val="00577C61"/>
    <w:rsid w:val="00580858"/>
    <w:rsid w:val="00580908"/>
    <w:rsid w:val="00581523"/>
    <w:rsid w:val="0058153B"/>
    <w:rsid w:val="00581B73"/>
    <w:rsid w:val="0058360D"/>
    <w:rsid w:val="00583A1F"/>
    <w:rsid w:val="00584419"/>
    <w:rsid w:val="00584DBF"/>
    <w:rsid w:val="0058503D"/>
    <w:rsid w:val="00585EBC"/>
    <w:rsid w:val="00586119"/>
    <w:rsid w:val="0058634B"/>
    <w:rsid w:val="00586913"/>
    <w:rsid w:val="005869DF"/>
    <w:rsid w:val="00586DA8"/>
    <w:rsid w:val="00587DE5"/>
    <w:rsid w:val="00590035"/>
    <w:rsid w:val="005906D4"/>
    <w:rsid w:val="0059071B"/>
    <w:rsid w:val="00590752"/>
    <w:rsid w:val="00590843"/>
    <w:rsid w:val="00590875"/>
    <w:rsid w:val="00591391"/>
    <w:rsid w:val="0059151C"/>
    <w:rsid w:val="0059178A"/>
    <w:rsid w:val="005931CA"/>
    <w:rsid w:val="00594032"/>
    <w:rsid w:val="00594089"/>
    <w:rsid w:val="00594107"/>
    <w:rsid w:val="00594297"/>
    <w:rsid w:val="00594756"/>
    <w:rsid w:val="00594799"/>
    <w:rsid w:val="00595150"/>
    <w:rsid w:val="00595803"/>
    <w:rsid w:val="00596013"/>
    <w:rsid w:val="00596626"/>
    <w:rsid w:val="00597190"/>
    <w:rsid w:val="005979CF"/>
    <w:rsid w:val="00597B09"/>
    <w:rsid w:val="00597B90"/>
    <w:rsid w:val="005A0359"/>
    <w:rsid w:val="005A0621"/>
    <w:rsid w:val="005A0A0D"/>
    <w:rsid w:val="005A133C"/>
    <w:rsid w:val="005A1399"/>
    <w:rsid w:val="005A1511"/>
    <w:rsid w:val="005A17D3"/>
    <w:rsid w:val="005A2A21"/>
    <w:rsid w:val="005A2AF6"/>
    <w:rsid w:val="005A3898"/>
    <w:rsid w:val="005A39E2"/>
    <w:rsid w:val="005A4146"/>
    <w:rsid w:val="005A44F5"/>
    <w:rsid w:val="005A559F"/>
    <w:rsid w:val="005A5634"/>
    <w:rsid w:val="005A59E7"/>
    <w:rsid w:val="005A6232"/>
    <w:rsid w:val="005A6736"/>
    <w:rsid w:val="005A69E7"/>
    <w:rsid w:val="005A75D2"/>
    <w:rsid w:val="005B0030"/>
    <w:rsid w:val="005B0A60"/>
    <w:rsid w:val="005B12C3"/>
    <w:rsid w:val="005B12FD"/>
    <w:rsid w:val="005B17D2"/>
    <w:rsid w:val="005B1E89"/>
    <w:rsid w:val="005B2A89"/>
    <w:rsid w:val="005B3532"/>
    <w:rsid w:val="005B394F"/>
    <w:rsid w:val="005B477A"/>
    <w:rsid w:val="005B5325"/>
    <w:rsid w:val="005B538A"/>
    <w:rsid w:val="005B5481"/>
    <w:rsid w:val="005B5EA0"/>
    <w:rsid w:val="005B6540"/>
    <w:rsid w:val="005B6728"/>
    <w:rsid w:val="005B6981"/>
    <w:rsid w:val="005B751F"/>
    <w:rsid w:val="005C08B4"/>
    <w:rsid w:val="005C0EA2"/>
    <w:rsid w:val="005C1380"/>
    <w:rsid w:val="005C1474"/>
    <w:rsid w:val="005C14B8"/>
    <w:rsid w:val="005C15BC"/>
    <w:rsid w:val="005C23F6"/>
    <w:rsid w:val="005C2CE6"/>
    <w:rsid w:val="005C3419"/>
    <w:rsid w:val="005C3427"/>
    <w:rsid w:val="005C3EDB"/>
    <w:rsid w:val="005C43CE"/>
    <w:rsid w:val="005C47D1"/>
    <w:rsid w:val="005C518E"/>
    <w:rsid w:val="005C5DF6"/>
    <w:rsid w:val="005C5FA0"/>
    <w:rsid w:val="005C6124"/>
    <w:rsid w:val="005C6DCB"/>
    <w:rsid w:val="005C7624"/>
    <w:rsid w:val="005D11A2"/>
    <w:rsid w:val="005D15A1"/>
    <w:rsid w:val="005D29A4"/>
    <w:rsid w:val="005D2A74"/>
    <w:rsid w:val="005D2D0F"/>
    <w:rsid w:val="005D2FA8"/>
    <w:rsid w:val="005D306C"/>
    <w:rsid w:val="005D3B02"/>
    <w:rsid w:val="005D46C2"/>
    <w:rsid w:val="005D4E16"/>
    <w:rsid w:val="005D4FA6"/>
    <w:rsid w:val="005D564A"/>
    <w:rsid w:val="005D595E"/>
    <w:rsid w:val="005D5ADE"/>
    <w:rsid w:val="005D6136"/>
    <w:rsid w:val="005D6245"/>
    <w:rsid w:val="005D6710"/>
    <w:rsid w:val="005D67D5"/>
    <w:rsid w:val="005D6AAF"/>
    <w:rsid w:val="005D79B3"/>
    <w:rsid w:val="005E00FB"/>
    <w:rsid w:val="005E0211"/>
    <w:rsid w:val="005E0309"/>
    <w:rsid w:val="005E0490"/>
    <w:rsid w:val="005E0BDF"/>
    <w:rsid w:val="005E17FC"/>
    <w:rsid w:val="005E1D04"/>
    <w:rsid w:val="005E2363"/>
    <w:rsid w:val="005E29A1"/>
    <w:rsid w:val="005E30C2"/>
    <w:rsid w:val="005E3E3E"/>
    <w:rsid w:val="005E3E3F"/>
    <w:rsid w:val="005E44E8"/>
    <w:rsid w:val="005E4744"/>
    <w:rsid w:val="005E6065"/>
    <w:rsid w:val="005E71CC"/>
    <w:rsid w:val="005E79E3"/>
    <w:rsid w:val="005E7DC7"/>
    <w:rsid w:val="005F037F"/>
    <w:rsid w:val="005F0AAB"/>
    <w:rsid w:val="005F0DC0"/>
    <w:rsid w:val="005F117B"/>
    <w:rsid w:val="005F23CF"/>
    <w:rsid w:val="005F2464"/>
    <w:rsid w:val="005F2C73"/>
    <w:rsid w:val="005F3DB6"/>
    <w:rsid w:val="005F3FDB"/>
    <w:rsid w:val="005F45BB"/>
    <w:rsid w:val="005F4A0C"/>
    <w:rsid w:val="005F6325"/>
    <w:rsid w:val="005F6755"/>
    <w:rsid w:val="005F6A81"/>
    <w:rsid w:val="005F74A5"/>
    <w:rsid w:val="006029FD"/>
    <w:rsid w:val="0060376A"/>
    <w:rsid w:val="00603FB9"/>
    <w:rsid w:val="0060495A"/>
    <w:rsid w:val="00604FC7"/>
    <w:rsid w:val="006050F9"/>
    <w:rsid w:val="00605AE1"/>
    <w:rsid w:val="00605C81"/>
    <w:rsid w:val="006062DE"/>
    <w:rsid w:val="0060659F"/>
    <w:rsid w:val="00606922"/>
    <w:rsid w:val="00607740"/>
    <w:rsid w:val="006077A1"/>
    <w:rsid w:val="0061046C"/>
    <w:rsid w:val="006104E2"/>
    <w:rsid w:val="00610FCF"/>
    <w:rsid w:val="00611423"/>
    <w:rsid w:val="006119F1"/>
    <w:rsid w:val="00611E8C"/>
    <w:rsid w:val="00611EE2"/>
    <w:rsid w:val="006129A9"/>
    <w:rsid w:val="00612F54"/>
    <w:rsid w:val="006134B2"/>
    <w:rsid w:val="00613741"/>
    <w:rsid w:val="006137D8"/>
    <w:rsid w:val="00614B48"/>
    <w:rsid w:val="00614D0C"/>
    <w:rsid w:val="00615EE3"/>
    <w:rsid w:val="00617336"/>
    <w:rsid w:val="006176B6"/>
    <w:rsid w:val="0061771F"/>
    <w:rsid w:val="00620E04"/>
    <w:rsid w:val="00621294"/>
    <w:rsid w:val="00621E03"/>
    <w:rsid w:val="00621FCF"/>
    <w:rsid w:val="00621FDE"/>
    <w:rsid w:val="006224C8"/>
    <w:rsid w:val="00622A93"/>
    <w:rsid w:val="00623699"/>
    <w:rsid w:val="00623D85"/>
    <w:rsid w:val="00623E8F"/>
    <w:rsid w:val="006249C5"/>
    <w:rsid w:val="00624CFD"/>
    <w:rsid w:val="00624EA6"/>
    <w:rsid w:val="0062598B"/>
    <w:rsid w:val="00626157"/>
    <w:rsid w:val="0062673A"/>
    <w:rsid w:val="0062692F"/>
    <w:rsid w:val="0062707F"/>
    <w:rsid w:val="00627682"/>
    <w:rsid w:val="006309EA"/>
    <w:rsid w:val="006316BD"/>
    <w:rsid w:val="00631C3C"/>
    <w:rsid w:val="0063239B"/>
    <w:rsid w:val="006328EB"/>
    <w:rsid w:val="006333FE"/>
    <w:rsid w:val="00633700"/>
    <w:rsid w:val="006339F8"/>
    <w:rsid w:val="00633B38"/>
    <w:rsid w:val="0063404F"/>
    <w:rsid w:val="006352BC"/>
    <w:rsid w:val="00635A1F"/>
    <w:rsid w:val="00635DD8"/>
    <w:rsid w:val="006372D0"/>
    <w:rsid w:val="006377A0"/>
    <w:rsid w:val="0063799C"/>
    <w:rsid w:val="00640C5D"/>
    <w:rsid w:val="00640F0D"/>
    <w:rsid w:val="0064148C"/>
    <w:rsid w:val="006421A2"/>
    <w:rsid w:val="006442CF"/>
    <w:rsid w:val="00644B10"/>
    <w:rsid w:val="0064558C"/>
    <w:rsid w:val="006459C8"/>
    <w:rsid w:val="00645D2D"/>
    <w:rsid w:val="00645EE8"/>
    <w:rsid w:val="00645F66"/>
    <w:rsid w:val="00646128"/>
    <w:rsid w:val="00646A3A"/>
    <w:rsid w:val="00646C34"/>
    <w:rsid w:val="00646FA2"/>
    <w:rsid w:val="0064768C"/>
    <w:rsid w:val="0064798A"/>
    <w:rsid w:val="006479BF"/>
    <w:rsid w:val="00647ACC"/>
    <w:rsid w:val="006514D8"/>
    <w:rsid w:val="00651569"/>
    <w:rsid w:val="00651A82"/>
    <w:rsid w:val="00651FA4"/>
    <w:rsid w:val="006537FA"/>
    <w:rsid w:val="00653D90"/>
    <w:rsid w:val="00653F1D"/>
    <w:rsid w:val="006550FC"/>
    <w:rsid w:val="0065517E"/>
    <w:rsid w:val="006555CA"/>
    <w:rsid w:val="0065595A"/>
    <w:rsid w:val="00655BF6"/>
    <w:rsid w:val="00656A68"/>
    <w:rsid w:val="00656BE0"/>
    <w:rsid w:val="0065780D"/>
    <w:rsid w:val="006578C1"/>
    <w:rsid w:val="00657A04"/>
    <w:rsid w:val="00657B7E"/>
    <w:rsid w:val="00660221"/>
    <w:rsid w:val="00660A9F"/>
    <w:rsid w:val="00661628"/>
    <w:rsid w:val="006624D8"/>
    <w:rsid w:val="006632CC"/>
    <w:rsid w:val="006633BE"/>
    <w:rsid w:val="00663DB1"/>
    <w:rsid w:val="0066442C"/>
    <w:rsid w:val="006647F4"/>
    <w:rsid w:val="006648E3"/>
    <w:rsid w:val="00665985"/>
    <w:rsid w:val="00665A35"/>
    <w:rsid w:val="0066610C"/>
    <w:rsid w:val="0066642C"/>
    <w:rsid w:val="00666587"/>
    <w:rsid w:val="00666E14"/>
    <w:rsid w:val="006677AE"/>
    <w:rsid w:val="00667C7D"/>
    <w:rsid w:val="00667E81"/>
    <w:rsid w:val="006704EE"/>
    <w:rsid w:val="00670A36"/>
    <w:rsid w:val="00671E0A"/>
    <w:rsid w:val="00672801"/>
    <w:rsid w:val="006730AB"/>
    <w:rsid w:val="00673CA6"/>
    <w:rsid w:val="0067463D"/>
    <w:rsid w:val="00674A5A"/>
    <w:rsid w:val="006753EF"/>
    <w:rsid w:val="00675CA2"/>
    <w:rsid w:val="0067679D"/>
    <w:rsid w:val="006801D6"/>
    <w:rsid w:val="006807DE"/>
    <w:rsid w:val="0068102A"/>
    <w:rsid w:val="0068104F"/>
    <w:rsid w:val="006817D9"/>
    <w:rsid w:val="00681C59"/>
    <w:rsid w:val="00682B49"/>
    <w:rsid w:val="00683269"/>
    <w:rsid w:val="00683397"/>
    <w:rsid w:val="006833B5"/>
    <w:rsid w:val="00683B51"/>
    <w:rsid w:val="00683EDB"/>
    <w:rsid w:val="0068450A"/>
    <w:rsid w:val="006845D3"/>
    <w:rsid w:val="00685CDB"/>
    <w:rsid w:val="00685E6B"/>
    <w:rsid w:val="00686377"/>
    <w:rsid w:val="006869A8"/>
    <w:rsid w:val="006871F9"/>
    <w:rsid w:val="0068752D"/>
    <w:rsid w:val="00687F58"/>
    <w:rsid w:val="006905F8"/>
    <w:rsid w:val="00690970"/>
    <w:rsid w:val="00690C1D"/>
    <w:rsid w:val="0069181E"/>
    <w:rsid w:val="00693896"/>
    <w:rsid w:val="00693D73"/>
    <w:rsid w:val="0069454F"/>
    <w:rsid w:val="0069463A"/>
    <w:rsid w:val="0069521F"/>
    <w:rsid w:val="006954A2"/>
    <w:rsid w:val="00695960"/>
    <w:rsid w:val="006960B6"/>
    <w:rsid w:val="00696254"/>
    <w:rsid w:val="00696F46"/>
    <w:rsid w:val="00697B97"/>
    <w:rsid w:val="00697E9D"/>
    <w:rsid w:val="00697FB0"/>
    <w:rsid w:val="006A0AD0"/>
    <w:rsid w:val="006A0FF3"/>
    <w:rsid w:val="006A1279"/>
    <w:rsid w:val="006A193A"/>
    <w:rsid w:val="006A2842"/>
    <w:rsid w:val="006A3959"/>
    <w:rsid w:val="006A4303"/>
    <w:rsid w:val="006A4481"/>
    <w:rsid w:val="006A493A"/>
    <w:rsid w:val="006A4D67"/>
    <w:rsid w:val="006A56EA"/>
    <w:rsid w:val="006A5F39"/>
    <w:rsid w:val="006A6447"/>
    <w:rsid w:val="006A6799"/>
    <w:rsid w:val="006A6BC7"/>
    <w:rsid w:val="006A6D63"/>
    <w:rsid w:val="006A7920"/>
    <w:rsid w:val="006A7AFA"/>
    <w:rsid w:val="006B0B56"/>
    <w:rsid w:val="006B29E1"/>
    <w:rsid w:val="006B2D24"/>
    <w:rsid w:val="006B2E8D"/>
    <w:rsid w:val="006B2F0F"/>
    <w:rsid w:val="006B3A6E"/>
    <w:rsid w:val="006B45D3"/>
    <w:rsid w:val="006B4A0C"/>
    <w:rsid w:val="006B62E7"/>
    <w:rsid w:val="006B7340"/>
    <w:rsid w:val="006B734E"/>
    <w:rsid w:val="006B79C3"/>
    <w:rsid w:val="006B7E80"/>
    <w:rsid w:val="006C07AE"/>
    <w:rsid w:val="006C0EB2"/>
    <w:rsid w:val="006C11A2"/>
    <w:rsid w:val="006C21A1"/>
    <w:rsid w:val="006C26AB"/>
    <w:rsid w:val="006C34DA"/>
    <w:rsid w:val="006C364D"/>
    <w:rsid w:val="006C3C32"/>
    <w:rsid w:val="006C4921"/>
    <w:rsid w:val="006C5056"/>
    <w:rsid w:val="006C569F"/>
    <w:rsid w:val="006C5DF6"/>
    <w:rsid w:val="006C6349"/>
    <w:rsid w:val="006C66F7"/>
    <w:rsid w:val="006C670C"/>
    <w:rsid w:val="006C6B95"/>
    <w:rsid w:val="006C6D04"/>
    <w:rsid w:val="006C72FA"/>
    <w:rsid w:val="006C79ED"/>
    <w:rsid w:val="006D058B"/>
    <w:rsid w:val="006D071E"/>
    <w:rsid w:val="006D09B6"/>
    <w:rsid w:val="006D0F5A"/>
    <w:rsid w:val="006D184C"/>
    <w:rsid w:val="006D1C08"/>
    <w:rsid w:val="006D1D71"/>
    <w:rsid w:val="006D1F38"/>
    <w:rsid w:val="006D3FD2"/>
    <w:rsid w:val="006D4908"/>
    <w:rsid w:val="006D49B2"/>
    <w:rsid w:val="006D4A89"/>
    <w:rsid w:val="006D4BFD"/>
    <w:rsid w:val="006D51CE"/>
    <w:rsid w:val="006D51EF"/>
    <w:rsid w:val="006D570B"/>
    <w:rsid w:val="006D585D"/>
    <w:rsid w:val="006D5FD8"/>
    <w:rsid w:val="006D615E"/>
    <w:rsid w:val="006D6540"/>
    <w:rsid w:val="006D670D"/>
    <w:rsid w:val="006D6F5B"/>
    <w:rsid w:val="006D712C"/>
    <w:rsid w:val="006D7950"/>
    <w:rsid w:val="006E013A"/>
    <w:rsid w:val="006E0E99"/>
    <w:rsid w:val="006E15C2"/>
    <w:rsid w:val="006E17FE"/>
    <w:rsid w:val="006E187C"/>
    <w:rsid w:val="006E2BF7"/>
    <w:rsid w:val="006E46A7"/>
    <w:rsid w:val="006E530D"/>
    <w:rsid w:val="006E5ED1"/>
    <w:rsid w:val="006E6163"/>
    <w:rsid w:val="006E6847"/>
    <w:rsid w:val="006E77BD"/>
    <w:rsid w:val="006F01AF"/>
    <w:rsid w:val="006F0536"/>
    <w:rsid w:val="006F0E32"/>
    <w:rsid w:val="006F1BF0"/>
    <w:rsid w:val="006F1DFD"/>
    <w:rsid w:val="006F349E"/>
    <w:rsid w:val="006F3A57"/>
    <w:rsid w:val="006F4146"/>
    <w:rsid w:val="006F4899"/>
    <w:rsid w:val="006F5FB1"/>
    <w:rsid w:val="006F6231"/>
    <w:rsid w:val="006F68A9"/>
    <w:rsid w:val="006F6B38"/>
    <w:rsid w:val="006F7067"/>
    <w:rsid w:val="006F7295"/>
    <w:rsid w:val="006F7787"/>
    <w:rsid w:val="007001C1"/>
    <w:rsid w:val="0070288D"/>
    <w:rsid w:val="00702E7E"/>
    <w:rsid w:val="00703564"/>
    <w:rsid w:val="00703B54"/>
    <w:rsid w:val="00705189"/>
    <w:rsid w:val="00705317"/>
    <w:rsid w:val="00705621"/>
    <w:rsid w:val="00705946"/>
    <w:rsid w:val="00705AD6"/>
    <w:rsid w:val="00705C61"/>
    <w:rsid w:val="00705CDB"/>
    <w:rsid w:val="00706176"/>
    <w:rsid w:val="0070628D"/>
    <w:rsid w:val="00707886"/>
    <w:rsid w:val="00707FB8"/>
    <w:rsid w:val="00710BD7"/>
    <w:rsid w:val="00710C60"/>
    <w:rsid w:val="00711A19"/>
    <w:rsid w:val="0071289D"/>
    <w:rsid w:val="00713548"/>
    <w:rsid w:val="00714771"/>
    <w:rsid w:val="00714DDD"/>
    <w:rsid w:val="007159A7"/>
    <w:rsid w:val="00716A96"/>
    <w:rsid w:val="00716E15"/>
    <w:rsid w:val="0071750F"/>
    <w:rsid w:val="00717FD1"/>
    <w:rsid w:val="00720378"/>
    <w:rsid w:val="0072098D"/>
    <w:rsid w:val="00720FEE"/>
    <w:rsid w:val="0072123D"/>
    <w:rsid w:val="00722757"/>
    <w:rsid w:val="00722A17"/>
    <w:rsid w:val="007230A3"/>
    <w:rsid w:val="00725BD3"/>
    <w:rsid w:val="00725FFF"/>
    <w:rsid w:val="0072608B"/>
    <w:rsid w:val="00726216"/>
    <w:rsid w:val="0072662B"/>
    <w:rsid w:val="0072683B"/>
    <w:rsid w:val="00726A65"/>
    <w:rsid w:val="0072720C"/>
    <w:rsid w:val="00727589"/>
    <w:rsid w:val="00727871"/>
    <w:rsid w:val="00731E97"/>
    <w:rsid w:val="0073271F"/>
    <w:rsid w:val="00732A5E"/>
    <w:rsid w:val="00732B99"/>
    <w:rsid w:val="00732F08"/>
    <w:rsid w:val="007336D0"/>
    <w:rsid w:val="00733C5D"/>
    <w:rsid w:val="0073410B"/>
    <w:rsid w:val="0073525E"/>
    <w:rsid w:val="00736590"/>
    <w:rsid w:val="00736F43"/>
    <w:rsid w:val="007373A3"/>
    <w:rsid w:val="00740891"/>
    <w:rsid w:val="0074096D"/>
    <w:rsid w:val="00741070"/>
    <w:rsid w:val="00741C6A"/>
    <w:rsid w:val="00741EEC"/>
    <w:rsid w:val="00742B77"/>
    <w:rsid w:val="00742FFB"/>
    <w:rsid w:val="007432B1"/>
    <w:rsid w:val="0074386E"/>
    <w:rsid w:val="00743AD3"/>
    <w:rsid w:val="0074409C"/>
    <w:rsid w:val="007445B6"/>
    <w:rsid w:val="007447C1"/>
    <w:rsid w:val="00744C03"/>
    <w:rsid w:val="00744F3E"/>
    <w:rsid w:val="00745433"/>
    <w:rsid w:val="00745755"/>
    <w:rsid w:val="007468CC"/>
    <w:rsid w:val="0074706C"/>
    <w:rsid w:val="00747A2C"/>
    <w:rsid w:val="00747F4D"/>
    <w:rsid w:val="00750ABB"/>
    <w:rsid w:val="007513D3"/>
    <w:rsid w:val="0075197E"/>
    <w:rsid w:val="00751BB7"/>
    <w:rsid w:val="00751D0A"/>
    <w:rsid w:val="0075227D"/>
    <w:rsid w:val="00752301"/>
    <w:rsid w:val="007528D3"/>
    <w:rsid w:val="00752CB9"/>
    <w:rsid w:val="007531C0"/>
    <w:rsid w:val="00753471"/>
    <w:rsid w:val="00753A17"/>
    <w:rsid w:val="00754286"/>
    <w:rsid w:val="00754DEC"/>
    <w:rsid w:val="00754F07"/>
    <w:rsid w:val="00755CBE"/>
    <w:rsid w:val="00756C74"/>
    <w:rsid w:val="00757118"/>
    <w:rsid w:val="007571C0"/>
    <w:rsid w:val="00760129"/>
    <w:rsid w:val="007608FA"/>
    <w:rsid w:val="00760C9B"/>
    <w:rsid w:val="00761659"/>
    <w:rsid w:val="00761717"/>
    <w:rsid w:val="00761E0B"/>
    <w:rsid w:val="00762989"/>
    <w:rsid w:val="00763C59"/>
    <w:rsid w:val="00764056"/>
    <w:rsid w:val="00764F45"/>
    <w:rsid w:val="00765B60"/>
    <w:rsid w:val="00766ADE"/>
    <w:rsid w:val="00766BD3"/>
    <w:rsid w:val="007673EC"/>
    <w:rsid w:val="007678E4"/>
    <w:rsid w:val="00767B60"/>
    <w:rsid w:val="00767C4C"/>
    <w:rsid w:val="00770F8D"/>
    <w:rsid w:val="007723FA"/>
    <w:rsid w:val="007724CB"/>
    <w:rsid w:val="00772940"/>
    <w:rsid w:val="007738B5"/>
    <w:rsid w:val="00773D3B"/>
    <w:rsid w:val="00775D21"/>
    <w:rsid w:val="0077623C"/>
    <w:rsid w:val="0077625E"/>
    <w:rsid w:val="0077668A"/>
    <w:rsid w:val="00777231"/>
    <w:rsid w:val="00777394"/>
    <w:rsid w:val="007777B4"/>
    <w:rsid w:val="00777D08"/>
    <w:rsid w:val="00781E23"/>
    <w:rsid w:val="00782413"/>
    <w:rsid w:val="00782671"/>
    <w:rsid w:val="00782902"/>
    <w:rsid w:val="0078328F"/>
    <w:rsid w:val="00783860"/>
    <w:rsid w:val="00783A3A"/>
    <w:rsid w:val="00783A62"/>
    <w:rsid w:val="00783CB5"/>
    <w:rsid w:val="0078453D"/>
    <w:rsid w:val="00785853"/>
    <w:rsid w:val="007867A4"/>
    <w:rsid w:val="007877A8"/>
    <w:rsid w:val="0079175B"/>
    <w:rsid w:val="00791E53"/>
    <w:rsid w:val="0079229E"/>
    <w:rsid w:val="00792A2E"/>
    <w:rsid w:val="00792BCD"/>
    <w:rsid w:val="00792BFE"/>
    <w:rsid w:val="00792F56"/>
    <w:rsid w:val="007931CE"/>
    <w:rsid w:val="00793328"/>
    <w:rsid w:val="00794749"/>
    <w:rsid w:val="00794835"/>
    <w:rsid w:val="007955B7"/>
    <w:rsid w:val="00795AB2"/>
    <w:rsid w:val="00795BF6"/>
    <w:rsid w:val="00795D06"/>
    <w:rsid w:val="007960C7"/>
    <w:rsid w:val="00796CDD"/>
    <w:rsid w:val="007A038D"/>
    <w:rsid w:val="007A04E1"/>
    <w:rsid w:val="007A13DA"/>
    <w:rsid w:val="007A25CB"/>
    <w:rsid w:val="007A295B"/>
    <w:rsid w:val="007A341E"/>
    <w:rsid w:val="007A3DB9"/>
    <w:rsid w:val="007A3EC9"/>
    <w:rsid w:val="007A4DB9"/>
    <w:rsid w:val="007A511D"/>
    <w:rsid w:val="007A5757"/>
    <w:rsid w:val="007A64BA"/>
    <w:rsid w:val="007A78DE"/>
    <w:rsid w:val="007A7951"/>
    <w:rsid w:val="007A79B4"/>
    <w:rsid w:val="007A7CFD"/>
    <w:rsid w:val="007B011A"/>
    <w:rsid w:val="007B08ED"/>
    <w:rsid w:val="007B1695"/>
    <w:rsid w:val="007B2012"/>
    <w:rsid w:val="007B4C29"/>
    <w:rsid w:val="007B4C86"/>
    <w:rsid w:val="007B4F95"/>
    <w:rsid w:val="007B7E00"/>
    <w:rsid w:val="007C011A"/>
    <w:rsid w:val="007C03CB"/>
    <w:rsid w:val="007C045C"/>
    <w:rsid w:val="007C0B74"/>
    <w:rsid w:val="007C0CB7"/>
    <w:rsid w:val="007C0F14"/>
    <w:rsid w:val="007C0FBA"/>
    <w:rsid w:val="007C24FB"/>
    <w:rsid w:val="007C29D0"/>
    <w:rsid w:val="007C2E12"/>
    <w:rsid w:val="007C31B8"/>
    <w:rsid w:val="007C3463"/>
    <w:rsid w:val="007C3AEA"/>
    <w:rsid w:val="007C5686"/>
    <w:rsid w:val="007C6696"/>
    <w:rsid w:val="007C7262"/>
    <w:rsid w:val="007C7564"/>
    <w:rsid w:val="007D0136"/>
    <w:rsid w:val="007D0D33"/>
    <w:rsid w:val="007D1494"/>
    <w:rsid w:val="007D2403"/>
    <w:rsid w:val="007D2997"/>
    <w:rsid w:val="007D29F1"/>
    <w:rsid w:val="007D2AD8"/>
    <w:rsid w:val="007D2CD7"/>
    <w:rsid w:val="007D2DCD"/>
    <w:rsid w:val="007D302B"/>
    <w:rsid w:val="007D3B19"/>
    <w:rsid w:val="007D4245"/>
    <w:rsid w:val="007D47AA"/>
    <w:rsid w:val="007D5FE0"/>
    <w:rsid w:val="007D6042"/>
    <w:rsid w:val="007D66BD"/>
    <w:rsid w:val="007D6DCC"/>
    <w:rsid w:val="007D76F9"/>
    <w:rsid w:val="007D786D"/>
    <w:rsid w:val="007D7A0E"/>
    <w:rsid w:val="007E008C"/>
    <w:rsid w:val="007E09B1"/>
    <w:rsid w:val="007E0AB7"/>
    <w:rsid w:val="007E2762"/>
    <w:rsid w:val="007E3616"/>
    <w:rsid w:val="007E3718"/>
    <w:rsid w:val="007E3BA0"/>
    <w:rsid w:val="007E47BA"/>
    <w:rsid w:val="007E4A18"/>
    <w:rsid w:val="007E4BDC"/>
    <w:rsid w:val="007E53C6"/>
    <w:rsid w:val="007E561F"/>
    <w:rsid w:val="007E6009"/>
    <w:rsid w:val="007E72BB"/>
    <w:rsid w:val="007E77AC"/>
    <w:rsid w:val="007F051E"/>
    <w:rsid w:val="007F061B"/>
    <w:rsid w:val="007F0CDE"/>
    <w:rsid w:val="007F0E2C"/>
    <w:rsid w:val="007F168D"/>
    <w:rsid w:val="007F1936"/>
    <w:rsid w:val="007F1C1A"/>
    <w:rsid w:val="007F1C6C"/>
    <w:rsid w:val="007F1D8B"/>
    <w:rsid w:val="007F3283"/>
    <w:rsid w:val="007F53EB"/>
    <w:rsid w:val="007F56FF"/>
    <w:rsid w:val="007F64E7"/>
    <w:rsid w:val="007F678E"/>
    <w:rsid w:val="007F6A38"/>
    <w:rsid w:val="007F6C30"/>
    <w:rsid w:val="007F756C"/>
    <w:rsid w:val="00800F0A"/>
    <w:rsid w:val="008012F0"/>
    <w:rsid w:val="0080152A"/>
    <w:rsid w:val="00802015"/>
    <w:rsid w:val="00802B9A"/>
    <w:rsid w:val="0080319D"/>
    <w:rsid w:val="00803F8A"/>
    <w:rsid w:val="0080400A"/>
    <w:rsid w:val="0080445B"/>
    <w:rsid w:val="00805363"/>
    <w:rsid w:val="00805F4B"/>
    <w:rsid w:val="008065E5"/>
    <w:rsid w:val="00806638"/>
    <w:rsid w:val="00806FD9"/>
    <w:rsid w:val="0080700E"/>
    <w:rsid w:val="0080747A"/>
    <w:rsid w:val="00807828"/>
    <w:rsid w:val="00810E66"/>
    <w:rsid w:val="00811336"/>
    <w:rsid w:val="00811B90"/>
    <w:rsid w:val="00811FC2"/>
    <w:rsid w:val="00813629"/>
    <w:rsid w:val="00813D5B"/>
    <w:rsid w:val="008142AA"/>
    <w:rsid w:val="00814424"/>
    <w:rsid w:val="00815126"/>
    <w:rsid w:val="0081513E"/>
    <w:rsid w:val="00815302"/>
    <w:rsid w:val="008153C4"/>
    <w:rsid w:val="00816098"/>
    <w:rsid w:val="008167EB"/>
    <w:rsid w:val="00816C77"/>
    <w:rsid w:val="00816EF7"/>
    <w:rsid w:val="0081711E"/>
    <w:rsid w:val="00817CA3"/>
    <w:rsid w:val="00820234"/>
    <w:rsid w:val="008209B4"/>
    <w:rsid w:val="0082127C"/>
    <w:rsid w:val="008217CA"/>
    <w:rsid w:val="00822C70"/>
    <w:rsid w:val="00823F27"/>
    <w:rsid w:val="0082455C"/>
    <w:rsid w:val="0082494F"/>
    <w:rsid w:val="0082523A"/>
    <w:rsid w:val="008258AD"/>
    <w:rsid w:val="00825D3E"/>
    <w:rsid w:val="0082609D"/>
    <w:rsid w:val="008267DA"/>
    <w:rsid w:val="00826F91"/>
    <w:rsid w:val="00827041"/>
    <w:rsid w:val="0082708E"/>
    <w:rsid w:val="0083085F"/>
    <w:rsid w:val="00830A6B"/>
    <w:rsid w:val="00830E72"/>
    <w:rsid w:val="0083230B"/>
    <w:rsid w:val="0083251D"/>
    <w:rsid w:val="00833580"/>
    <w:rsid w:val="00833957"/>
    <w:rsid w:val="0083431A"/>
    <w:rsid w:val="008347B1"/>
    <w:rsid w:val="00834D26"/>
    <w:rsid w:val="0083503E"/>
    <w:rsid w:val="008356D2"/>
    <w:rsid w:val="00835785"/>
    <w:rsid w:val="00835A62"/>
    <w:rsid w:val="008364BB"/>
    <w:rsid w:val="00836BAA"/>
    <w:rsid w:val="00836C35"/>
    <w:rsid w:val="00836CAF"/>
    <w:rsid w:val="008401F5"/>
    <w:rsid w:val="008404CF"/>
    <w:rsid w:val="00840E81"/>
    <w:rsid w:val="00841856"/>
    <w:rsid w:val="00841900"/>
    <w:rsid w:val="00844551"/>
    <w:rsid w:val="008456A6"/>
    <w:rsid w:val="00845B3D"/>
    <w:rsid w:val="00845CE6"/>
    <w:rsid w:val="00845F83"/>
    <w:rsid w:val="0084635E"/>
    <w:rsid w:val="008465FF"/>
    <w:rsid w:val="00846F90"/>
    <w:rsid w:val="00847570"/>
    <w:rsid w:val="008507CB"/>
    <w:rsid w:val="008513CA"/>
    <w:rsid w:val="00851471"/>
    <w:rsid w:val="00851844"/>
    <w:rsid w:val="00851DDC"/>
    <w:rsid w:val="00852321"/>
    <w:rsid w:val="00852581"/>
    <w:rsid w:val="00853201"/>
    <w:rsid w:val="00853395"/>
    <w:rsid w:val="00853AD2"/>
    <w:rsid w:val="0085425A"/>
    <w:rsid w:val="00854676"/>
    <w:rsid w:val="00854AF4"/>
    <w:rsid w:val="0085502B"/>
    <w:rsid w:val="008551B3"/>
    <w:rsid w:val="00855857"/>
    <w:rsid w:val="00856AF2"/>
    <w:rsid w:val="0085744C"/>
    <w:rsid w:val="008606A2"/>
    <w:rsid w:val="00860735"/>
    <w:rsid w:val="00860843"/>
    <w:rsid w:val="0086171E"/>
    <w:rsid w:val="00861C5E"/>
    <w:rsid w:val="00863A55"/>
    <w:rsid w:val="0086450E"/>
    <w:rsid w:val="00864B9E"/>
    <w:rsid w:val="008666E3"/>
    <w:rsid w:val="0086688F"/>
    <w:rsid w:val="008700F1"/>
    <w:rsid w:val="0087079C"/>
    <w:rsid w:val="00870A0D"/>
    <w:rsid w:val="00871C01"/>
    <w:rsid w:val="00871CE5"/>
    <w:rsid w:val="00871CF9"/>
    <w:rsid w:val="008722FE"/>
    <w:rsid w:val="0087246A"/>
    <w:rsid w:val="0087301D"/>
    <w:rsid w:val="00873436"/>
    <w:rsid w:val="008739CA"/>
    <w:rsid w:val="00874C52"/>
    <w:rsid w:val="00875144"/>
    <w:rsid w:val="008758E7"/>
    <w:rsid w:val="008758F9"/>
    <w:rsid w:val="00877722"/>
    <w:rsid w:val="008804BC"/>
    <w:rsid w:val="0088057B"/>
    <w:rsid w:val="0088073B"/>
    <w:rsid w:val="0088110A"/>
    <w:rsid w:val="00881C3D"/>
    <w:rsid w:val="00881D3F"/>
    <w:rsid w:val="00881E28"/>
    <w:rsid w:val="00882C89"/>
    <w:rsid w:val="008831C1"/>
    <w:rsid w:val="00883602"/>
    <w:rsid w:val="008838B4"/>
    <w:rsid w:val="00883DF1"/>
    <w:rsid w:val="00883E1C"/>
    <w:rsid w:val="008852B4"/>
    <w:rsid w:val="0088546D"/>
    <w:rsid w:val="008856D6"/>
    <w:rsid w:val="008857B9"/>
    <w:rsid w:val="00885C2D"/>
    <w:rsid w:val="008861C6"/>
    <w:rsid w:val="008861F2"/>
    <w:rsid w:val="008864A1"/>
    <w:rsid w:val="0088729C"/>
    <w:rsid w:val="008872D5"/>
    <w:rsid w:val="00887838"/>
    <w:rsid w:val="00887BC1"/>
    <w:rsid w:val="00887E90"/>
    <w:rsid w:val="008906B9"/>
    <w:rsid w:val="008908D8"/>
    <w:rsid w:val="00891DA8"/>
    <w:rsid w:val="0089203D"/>
    <w:rsid w:val="00893ABB"/>
    <w:rsid w:val="0089419A"/>
    <w:rsid w:val="0089489A"/>
    <w:rsid w:val="008949F6"/>
    <w:rsid w:val="00894E10"/>
    <w:rsid w:val="00895166"/>
    <w:rsid w:val="00895839"/>
    <w:rsid w:val="008959BB"/>
    <w:rsid w:val="00895CBB"/>
    <w:rsid w:val="00896766"/>
    <w:rsid w:val="00896B23"/>
    <w:rsid w:val="008970AE"/>
    <w:rsid w:val="008973D3"/>
    <w:rsid w:val="00897C69"/>
    <w:rsid w:val="008A01C2"/>
    <w:rsid w:val="008A0225"/>
    <w:rsid w:val="008A044F"/>
    <w:rsid w:val="008A046B"/>
    <w:rsid w:val="008A0F41"/>
    <w:rsid w:val="008A239C"/>
    <w:rsid w:val="008A3095"/>
    <w:rsid w:val="008A3543"/>
    <w:rsid w:val="008A357C"/>
    <w:rsid w:val="008A35C6"/>
    <w:rsid w:val="008A3BE2"/>
    <w:rsid w:val="008A3DE6"/>
    <w:rsid w:val="008A4243"/>
    <w:rsid w:val="008A4350"/>
    <w:rsid w:val="008A4A41"/>
    <w:rsid w:val="008A5A70"/>
    <w:rsid w:val="008A631F"/>
    <w:rsid w:val="008A6932"/>
    <w:rsid w:val="008A771A"/>
    <w:rsid w:val="008B0101"/>
    <w:rsid w:val="008B0983"/>
    <w:rsid w:val="008B0C48"/>
    <w:rsid w:val="008B12BB"/>
    <w:rsid w:val="008B1402"/>
    <w:rsid w:val="008B1EF9"/>
    <w:rsid w:val="008B2015"/>
    <w:rsid w:val="008B20A2"/>
    <w:rsid w:val="008B2720"/>
    <w:rsid w:val="008B2C71"/>
    <w:rsid w:val="008B2F2F"/>
    <w:rsid w:val="008B4C3E"/>
    <w:rsid w:val="008B530D"/>
    <w:rsid w:val="008B644A"/>
    <w:rsid w:val="008B67A5"/>
    <w:rsid w:val="008B6A15"/>
    <w:rsid w:val="008B7267"/>
    <w:rsid w:val="008B75C9"/>
    <w:rsid w:val="008B7D46"/>
    <w:rsid w:val="008B7E6C"/>
    <w:rsid w:val="008C0573"/>
    <w:rsid w:val="008C0750"/>
    <w:rsid w:val="008C08AF"/>
    <w:rsid w:val="008C0E54"/>
    <w:rsid w:val="008C151D"/>
    <w:rsid w:val="008C1777"/>
    <w:rsid w:val="008C2240"/>
    <w:rsid w:val="008C3147"/>
    <w:rsid w:val="008C3257"/>
    <w:rsid w:val="008C381F"/>
    <w:rsid w:val="008C46C2"/>
    <w:rsid w:val="008C4FD2"/>
    <w:rsid w:val="008C54EF"/>
    <w:rsid w:val="008C620C"/>
    <w:rsid w:val="008C661C"/>
    <w:rsid w:val="008C66E5"/>
    <w:rsid w:val="008D0337"/>
    <w:rsid w:val="008D1077"/>
    <w:rsid w:val="008D1BEC"/>
    <w:rsid w:val="008D229E"/>
    <w:rsid w:val="008D238E"/>
    <w:rsid w:val="008D28FE"/>
    <w:rsid w:val="008D37E4"/>
    <w:rsid w:val="008D39EC"/>
    <w:rsid w:val="008D56FF"/>
    <w:rsid w:val="008D5EB8"/>
    <w:rsid w:val="008D5F0D"/>
    <w:rsid w:val="008D68B9"/>
    <w:rsid w:val="008D69FA"/>
    <w:rsid w:val="008E0982"/>
    <w:rsid w:val="008E0BF9"/>
    <w:rsid w:val="008E0CC6"/>
    <w:rsid w:val="008E1B96"/>
    <w:rsid w:val="008E1F1C"/>
    <w:rsid w:val="008E25D8"/>
    <w:rsid w:val="008E2B8A"/>
    <w:rsid w:val="008E2B91"/>
    <w:rsid w:val="008E2ECF"/>
    <w:rsid w:val="008E32D7"/>
    <w:rsid w:val="008E3A06"/>
    <w:rsid w:val="008E3F30"/>
    <w:rsid w:val="008E41A2"/>
    <w:rsid w:val="008E4FA8"/>
    <w:rsid w:val="008E52E4"/>
    <w:rsid w:val="008E6044"/>
    <w:rsid w:val="008E66F4"/>
    <w:rsid w:val="008E6885"/>
    <w:rsid w:val="008E697F"/>
    <w:rsid w:val="008E6D1D"/>
    <w:rsid w:val="008E7B27"/>
    <w:rsid w:val="008F1AF0"/>
    <w:rsid w:val="008F235F"/>
    <w:rsid w:val="008F2492"/>
    <w:rsid w:val="008F2790"/>
    <w:rsid w:val="008F29A4"/>
    <w:rsid w:val="008F3CF5"/>
    <w:rsid w:val="008F4240"/>
    <w:rsid w:val="008F4A12"/>
    <w:rsid w:val="008F50E1"/>
    <w:rsid w:val="008F6533"/>
    <w:rsid w:val="008F6A90"/>
    <w:rsid w:val="008F6C10"/>
    <w:rsid w:val="008F6E2F"/>
    <w:rsid w:val="008F70E7"/>
    <w:rsid w:val="008F7114"/>
    <w:rsid w:val="008F7241"/>
    <w:rsid w:val="008F74F5"/>
    <w:rsid w:val="008F7E70"/>
    <w:rsid w:val="00900548"/>
    <w:rsid w:val="00900F6D"/>
    <w:rsid w:val="009010B5"/>
    <w:rsid w:val="0090155F"/>
    <w:rsid w:val="0090157F"/>
    <w:rsid w:val="00902FAA"/>
    <w:rsid w:val="009033A0"/>
    <w:rsid w:val="009037D3"/>
    <w:rsid w:val="00903832"/>
    <w:rsid w:val="009039DE"/>
    <w:rsid w:val="00903B1C"/>
    <w:rsid w:val="00903C9F"/>
    <w:rsid w:val="009041EF"/>
    <w:rsid w:val="009045A3"/>
    <w:rsid w:val="009045E9"/>
    <w:rsid w:val="00904DBA"/>
    <w:rsid w:val="0090555E"/>
    <w:rsid w:val="00905B03"/>
    <w:rsid w:val="0090602B"/>
    <w:rsid w:val="00906A80"/>
    <w:rsid w:val="0090700B"/>
    <w:rsid w:val="00907F22"/>
    <w:rsid w:val="009100DE"/>
    <w:rsid w:val="009108F9"/>
    <w:rsid w:val="00911C6C"/>
    <w:rsid w:val="00911D0D"/>
    <w:rsid w:val="00911D5F"/>
    <w:rsid w:val="00912039"/>
    <w:rsid w:val="00912153"/>
    <w:rsid w:val="00912587"/>
    <w:rsid w:val="009131D3"/>
    <w:rsid w:val="00913588"/>
    <w:rsid w:val="009138A8"/>
    <w:rsid w:val="00913B68"/>
    <w:rsid w:val="00913BFC"/>
    <w:rsid w:val="00914516"/>
    <w:rsid w:val="00914B57"/>
    <w:rsid w:val="00914F01"/>
    <w:rsid w:val="0091530E"/>
    <w:rsid w:val="00915F44"/>
    <w:rsid w:val="009167CD"/>
    <w:rsid w:val="00916A75"/>
    <w:rsid w:val="0091770F"/>
    <w:rsid w:val="00917D13"/>
    <w:rsid w:val="00917FE1"/>
    <w:rsid w:val="00920984"/>
    <w:rsid w:val="00920D24"/>
    <w:rsid w:val="00920D82"/>
    <w:rsid w:val="00921730"/>
    <w:rsid w:val="009220A6"/>
    <w:rsid w:val="009228B5"/>
    <w:rsid w:val="00922B35"/>
    <w:rsid w:val="009241C8"/>
    <w:rsid w:val="00924BEE"/>
    <w:rsid w:val="00924E84"/>
    <w:rsid w:val="0092539D"/>
    <w:rsid w:val="0092578A"/>
    <w:rsid w:val="009259D1"/>
    <w:rsid w:val="00925E65"/>
    <w:rsid w:val="00925FAE"/>
    <w:rsid w:val="009275F9"/>
    <w:rsid w:val="009300A9"/>
    <w:rsid w:val="00930A38"/>
    <w:rsid w:val="0093163C"/>
    <w:rsid w:val="0093164B"/>
    <w:rsid w:val="009318D7"/>
    <w:rsid w:val="009323D0"/>
    <w:rsid w:val="009323ED"/>
    <w:rsid w:val="00932761"/>
    <w:rsid w:val="00932846"/>
    <w:rsid w:val="00932863"/>
    <w:rsid w:val="009340D6"/>
    <w:rsid w:val="00934775"/>
    <w:rsid w:val="00934FA2"/>
    <w:rsid w:val="009361DE"/>
    <w:rsid w:val="00936C36"/>
    <w:rsid w:val="00936F5A"/>
    <w:rsid w:val="00940ED1"/>
    <w:rsid w:val="00940F0C"/>
    <w:rsid w:val="00942CB2"/>
    <w:rsid w:val="009446FE"/>
    <w:rsid w:val="0094476D"/>
    <w:rsid w:val="00944DBE"/>
    <w:rsid w:val="00944F02"/>
    <w:rsid w:val="00944F76"/>
    <w:rsid w:val="0094508C"/>
    <w:rsid w:val="0094532F"/>
    <w:rsid w:val="00945D47"/>
    <w:rsid w:val="009469FA"/>
    <w:rsid w:val="00946D50"/>
    <w:rsid w:val="009476CE"/>
    <w:rsid w:val="0094778E"/>
    <w:rsid w:val="009478E8"/>
    <w:rsid w:val="0094798A"/>
    <w:rsid w:val="00947EDD"/>
    <w:rsid w:val="00950182"/>
    <w:rsid w:val="009514E4"/>
    <w:rsid w:val="00951D69"/>
    <w:rsid w:val="00952037"/>
    <w:rsid w:val="0095244A"/>
    <w:rsid w:val="00952D4D"/>
    <w:rsid w:val="00952E8B"/>
    <w:rsid w:val="00953252"/>
    <w:rsid w:val="0095421D"/>
    <w:rsid w:val="009542D7"/>
    <w:rsid w:val="009544B8"/>
    <w:rsid w:val="00954CB1"/>
    <w:rsid w:val="009556E7"/>
    <w:rsid w:val="009568C5"/>
    <w:rsid w:val="00956B5F"/>
    <w:rsid w:val="00956C83"/>
    <w:rsid w:val="00957428"/>
    <w:rsid w:val="009604B5"/>
    <w:rsid w:val="00960B05"/>
    <w:rsid w:val="009620BD"/>
    <w:rsid w:val="00962A28"/>
    <w:rsid w:val="00962BB8"/>
    <w:rsid w:val="00962DA0"/>
    <w:rsid w:val="00963101"/>
    <w:rsid w:val="0096357C"/>
    <w:rsid w:val="00964342"/>
    <w:rsid w:val="00964405"/>
    <w:rsid w:val="00964AA6"/>
    <w:rsid w:val="00965319"/>
    <w:rsid w:val="00965DE5"/>
    <w:rsid w:val="0096783A"/>
    <w:rsid w:val="00967946"/>
    <w:rsid w:val="00967ABA"/>
    <w:rsid w:val="009713DB"/>
    <w:rsid w:val="00971647"/>
    <w:rsid w:val="0097238E"/>
    <w:rsid w:val="00972906"/>
    <w:rsid w:val="00972E40"/>
    <w:rsid w:val="00973D8F"/>
    <w:rsid w:val="00974276"/>
    <w:rsid w:val="009747B0"/>
    <w:rsid w:val="00974CF9"/>
    <w:rsid w:val="0097516A"/>
    <w:rsid w:val="009752ED"/>
    <w:rsid w:val="0097534E"/>
    <w:rsid w:val="00976BFB"/>
    <w:rsid w:val="00976D66"/>
    <w:rsid w:val="0097710A"/>
    <w:rsid w:val="00977ED8"/>
    <w:rsid w:val="009803F9"/>
    <w:rsid w:val="00980949"/>
    <w:rsid w:val="009811FA"/>
    <w:rsid w:val="00982686"/>
    <w:rsid w:val="009831F8"/>
    <w:rsid w:val="0098332F"/>
    <w:rsid w:val="009836F1"/>
    <w:rsid w:val="00984CF4"/>
    <w:rsid w:val="00984FE4"/>
    <w:rsid w:val="00985B76"/>
    <w:rsid w:val="00985D4D"/>
    <w:rsid w:val="0098663A"/>
    <w:rsid w:val="0098786F"/>
    <w:rsid w:val="009918CB"/>
    <w:rsid w:val="00991973"/>
    <w:rsid w:val="00991A57"/>
    <w:rsid w:val="00992002"/>
    <w:rsid w:val="0099315A"/>
    <w:rsid w:val="009931D7"/>
    <w:rsid w:val="00993581"/>
    <w:rsid w:val="00993DA6"/>
    <w:rsid w:val="00993F39"/>
    <w:rsid w:val="00994109"/>
    <w:rsid w:val="00994310"/>
    <w:rsid w:val="00994771"/>
    <w:rsid w:val="00994B01"/>
    <w:rsid w:val="00994C00"/>
    <w:rsid w:val="00994C1B"/>
    <w:rsid w:val="00995082"/>
    <w:rsid w:val="00996789"/>
    <w:rsid w:val="0099705A"/>
    <w:rsid w:val="00997E36"/>
    <w:rsid w:val="009A0F5A"/>
    <w:rsid w:val="009A0F98"/>
    <w:rsid w:val="009A14AF"/>
    <w:rsid w:val="009A1532"/>
    <w:rsid w:val="009A1B41"/>
    <w:rsid w:val="009A1FD9"/>
    <w:rsid w:val="009A21CA"/>
    <w:rsid w:val="009A26C4"/>
    <w:rsid w:val="009A28B7"/>
    <w:rsid w:val="009A2D0C"/>
    <w:rsid w:val="009A3922"/>
    <w:rsid w:val="009A52E6"/>
    <w:rsid w:val="009A597F"/>
    <w:rsid w:val="009A5C8F"/>
    <w:rsid w:val="009A6C35"/>
    <w:rsid w:val="009A7159"/>
    <w:rsid w:val="009A7579"/>
    <w:rsid w:val="009A76E1"/>
    <w:rsid w:val="009A773C"/>
    <w:rsid w:val="009A778B"/>
    <w:rsid w:val="009A794F"/>
    <w:rsid w:val="009B0F8E"/>
    <w:rsid w:val="009B16D0"/>
    <w:rsid w:val="009B1BE6"/>
    <w:rsid w:val="009B219F"/>
    <w:rsid w:val="009B2374"/>
    <w:rsid w:val="009B2735"/>
    <w:rsid w:val="009B2842"/>
    <w:rsid w:val="009B30E3"/>
    <w:rsid w:val="009B3F49"/>
    <w:rsid w:val="009B43E1"/>
    <w:rsid w:val="009B49AE"/>
    <w:rsid w:val="009B4BCB"/>
    <w:rsid w:val="009B4FAA"/>
    <w:rsid w:val="009B4FFE"/>
    <w:rsid w:val="009B520F"/>
    <w:rsid w:val="009B6338"/>
    <w:rsid w:val="009B63D3"/>
    <w:rsid w:val="009B645B"/>
    <w:rsid w:val="009B6C17"/>
    <w:rsid w:val="009B7D23"/>
    <w:rsid w:val="009B7FB1"/>
    <w:rsid w:val="009C1638"/>
    <w:rsid w:val="009C191C"/>
    <w:rsid w:val="009C1D43"/>
    <w:rsid w:val="009C1E35"/>
    <w:rsid w:val="009C20C3"/>
    <w:rsid w:val="009C372D"/>
    <w:rsid w:val="009C442C"/>
    <w:rsid w:val="009C5076"/>
    <w:rsid w:val="009C56E2"/>
    <w:rsid w:val="009C5C3B"/>
    <w:rsid w:val="009C5D7A"/>
    <w:rsid w:val="009C70FA"/>
    <w:rsid w:val="009D01A2"/>
    <w:rsid w:val="009D0B75"/>
    <w:rsid w:val="009D0E6F"/>
    <w:rsid w:val="009D1C13"/>
    <w:rsid w:val="009D21AC"/>
    <w:rsid w:val="009D2808"/>
    <w:rsid w:val="009D2CE7"/>
    <w:rsid w:val="009D3A80"/>
    <w:rsid w:val="009D3FFE"/>
    <w:rsid w:val="009D46E5"/>
    <w:rsid w:val="009D50DA"/>
    <w:rsid w:val="009D5480"/>
    <w:rsid w:val="009D5DC1"/>
    <w:rsid w:val="009D630E"/>
    <w:rsid w:val="009D6A98"/>
    <w:rsid w:val="009D7577"/>
    <w:rsid w:val="009D773C"/>
    <w:rsid w:val="009D7796"/>
    <w:rsid w:val="009D7DCC"/>
    <w:rsid w:val="009E032D"/>
    <w:rsid w:val="009E0B5D"/>
    <w:rsid w:val="009E0CEE"/>
    <w:rsid w:val="009E14F6"/>
    <w:rsid w:val="009E1971"/>
    <w:rsid w:val="009E3283"/>
    <w:rsid w:val="009E38EC"/>
    <w:rsid w:val="009E41E5"/>
    <w:rsid w:val="009E462A"/>
    <w:rsid w:val="009E536B"/>
    <w:rsid w:val="009E6D31"/>
    <w:rsid w:val="009E6EA9"/>
    <w:rsid w:val="009E6F89"/>
    <w:rsid w:val="009E71B1"/>
    <w:rsid w:val="009E73B1"/>
    <w:rsid w:val="009E756C"/>
    <w:rsid w:val="009F0176"/>
    <w:rsid w:val="009F0804"/>
    <w:rsid w:val="009F0EE9"/>
    <w:rsid w:val="009F19B2"/>
    <w:rsid w:val="009F3388"/>
    <w:rsid w:val="009F38D4"/>
    <w:rsid w:val="009F3FE3"/>
    <w:rsid w:val="009F4BE2"/>
    <w:rsid w:val="009F4C26"/>
    <w:rsid w:val="009F67DC"/>
    <w:rsid w:val="009F6896"/>
    <w:rsid w:val="009F6BA5"/>
    <w:rsid w:val="009F75F8"/>
    <w:rsid w:val="009F770F"/>
    <w:rsid w:val="009F77ED"/>
    <w:rsid w:val="00A00311"/>
    <w:rsid w:val="00A00BD8"/>
    <w:rsid w:val="00A00DD1"/>
    <w:rsid w:val="00A012A9"/>
    <w:rsid w:val="00A03375"/>
    <w:rsid w:val="00A039D4"/>
    <w:rsid w:val="00A0495F"/>
    <w:rsid w:val="00A04DFE"/>
    <w:rsid w:val="00A0527B"/>
    <w:rsid w:val="00A05CF9"/>
    <w:rsid w:val="00A0699C"/>
    <w:rsid w:val="00A07FFE"/>
    <w:rsid w:val="00A10113"/>
    <w:rsid w:val="00A10276"/>
    <w:rsid w:val="00A108CF"/>
    <w:rsid w:val="00A11021"/>
    <w:rsid w:val="00A1120C"/>
    <w:rsid w:val="00A1153E"/>
    <w:rsid w:val="00A12561"/>
    <w:rsid w:val="00A12F41"/>
    <w:rsid w:val="00A13BB9"/>
    <w:rsid w:val="00A13DA3"/>
    <w:rsid w:val="00A13EB1"/>
    <w:rsid w:val="00A14653"/>
    <w:rsid w:val="00A14BC2"/>
    <w:rsid w:val="00A14E60"/>
    <w:rsid w:val="00A15A23"/>
    <w:rsid w:val="00A163DF"/>
    <w:rsid w:val="00A166A5"/>
    <w:rsid w:val="00A168FE"/>
    <w:rsid w:val="00A17899"/>
    <w:rsid w:val="00A17CF5"/>
    <w:rsid w:val="00A20465"/>
    <w:rsid w:val="00A20BCF"/>
    <w:rsid w:val="00A21A72"/>
    <w:rsid w:val="00A221AB"/>
    <w:rsid w:val="00A22B01"/>
    <w:rsid w:val="00A22F28"/>
    <w:rsid w:val="00A2322D"/>
    <w:rsid w:val="00A236EB"/>
    <w:rsid w:val="00A2383D"/>
    <w:rsid w:val="00A25906"/>
    <w:rsid w:val="00A27370"/>
    <w:rsid w:val="00A279C9"/>
    <w:rsid w:val="00A27BBE"/>
    <w:rsid w:val="00A27FFE"/>
    <w:rsid w:val="00A30AF6"/>
    <w:rsid w:val="00A31097"/>
    <w:rsid w:val="00A31E02"/>
    <w:rsid w:val="00A3287F"/>
    <w:rsid w:val="00A32881"/>
    <w:rsid w:val="00A3447B"/>
    <w:rsid w:val="00A34B0D"/>
    <w:rsid w:val="00A352BC"/>
    <w:rsid w:val="00A35461"/>
    <w:rsid w:val="00A35879"/>
    <w:rsid w:val="00A35A2D"/>
    <w:rsid w:val="00A35D00"/>
    <w:rsid w:val="00A3670C"/>
    <w:rsid w:val="00A3789B"/>
    <w:rsid w:val="00A37DB8"/>
    <w:rsid w:val="00A4041B"/>
    <w:rsid w:val="00A408AC"/>
    <w:rsid w:val="00A40A12"/>
    <w:rsid w:val="00A40C3A"/>
    <w:rsid w:val="00A4172E"/>
    <w:rsid w:val="00A4191F"/>
    <w:rsid w:val="00A41BB9"/>
    <w:rsid w:val="00A41CF0"/>
    <w:rsid w:val="00A42805"/>
    <w:rsid w:val="00A43188"/>
    <w:rsid w:val="00A437BD"/>
    <w:rsid w:val="00A438E6"/>
    <w:rsid w:val="00A442EB"/>
    <w:rsid w:val="00A44869"/>
    <w:rsid w:val="00A452F7"/>
    <w:rsid w:val="00A45EBB"/>
    <w:rsid w:val="00A467ED"/>
    <w:rsid w:val="00A46941"/>
    <w:rsid w:val="00A46DCB"/>
    <w:rsid w:val="00A471ED"/>
    <w:rsid w:val="00A47480"/>
    <w:rsid w:val="00A50239"/>
    <w:rsid w:val="00A50BC7"/>
    <w:rsid w:val="00A50F7C"/>
    <w:rsid w:val="00A52386"/>
    <w:rsid w:val="00A524A8"/>
    <w:rsid w:val="00A53550"/>
    <w:rsid w:val="00A544BC"/>
    <w:rsid w:val="00A56AF5"/>
    <w:rsid w:val="00A576F1"/>
    <w:rsid w:val="00A60C8F"/>
    <w:rsid w:val="00A611AC"/>
    <w:rsid w:val="00A61337"/>
    <w:rsid w:val="00A62C7D"/>
    <w:rsid w:val="00A63869"/>
    <w:rsid w:val="00A63BAC"/>
    <w:rsid w:val="00A63BF7"/>
    <w:rsid w:val="00A63D26"/>
    <w:rsid w:val="00A646CD"/>
    <w:rsid w:val="00A647A8"/>
    <w:rsid w:val="00A64B1F"/>
    <w:rsid w:val="00A65B49"/>
    <w:rsid w:val="00A66515"/>
    <w:rsid w:val="00A669A8"/>
    <w:rsid w:val="00A677B2"/>
    <w:rsid w:val="00A70005"/>
    <w:rsid w:val="00A706F8"/>
    <w:rsid w:val="00A7142C"/>
    <w:rsid w:val="00A7153F"/>
    <w:rsid w:val="00A71BE4"/>
    <w:rsid w:val="00A71CA2"/>
    <w:rsid w:val="00A7224B"/>
    <w:rsid w:val="00A73413"/>
    <w:rsid w:val="00A73B03"/>
    <w:rsid w:val="00A74088"/>
    <w:rsid w:val="00A7450A"/>
    <w:rsid w:val="00A74E45"/>
    <w:rsid w:val="00A75CAA"/>
    <w:rsid w:val="00A75F19"/>
    <w:rsid w:val="00A76613"/>
    <w:rsid w:val="00A77AB3"/>
    <w:rsid w:val="00A8002C"/>
    <w:rsid w:val="00A803CA"/>
    <w:rsid w:val="00A8048D"/>
    <w:rsid w:val="00A82294"/>
    <w:rsid w:val="00A8244C"/>
    <w:rsid w:val="00A82F86"/>
    <w:rsid w:val="00A8380F"/>
    <w:rsid w:val="00A8388D"/>
    <w:rsid w:val="00A83DD5"/>
    <w:rsid w:val="00A850BC"/>
    <w:rsid w:val="00A8717A"/>
    <w:rsid w:val="00A87413"/>
    <w:rsid w:val="00A901B7"/>
    <w:rsid w:val="00A9086C"/>
    <w:rsid w:val="00A90C89"/>
    <w:rsid w:val="00A90DB8"/>
    <w:rsid w:val="00A9171E"/>
    <w:rsid w:val="00A919BA"/>
    <w:rsid w:val="00A91AF9"/>
    <w:rsid w:val="00A91F8D"/>
    <w:rsid w:val="00A92655"/>
    <w:rsid w:val="00A932DE"/>
    <w:rsid w:val="00A939E0"/>
    <w:rsid w:val="00A940F6"/>
    <w:rsid w:val="00A94481"/>
    <w:rsid w:val="00A9474F"/>
    <w:rsid w:val="00A94812"/>
    <w:rsid w:val="00A954C2"/>
    <w:rsid w:val="00A95A42"/>
    <w:rsid w:val="00A95A75"/>
    <w:rsid w:val="00A95D12"/>
    <w:rsid w:val="00A960C3"/>
    <w:rsid w:val="00A96428"/>
    <w:rsid w:val="00A96DCE"/>
    <w:rsid w:val="00A9738F"/>
    <w:rsid w:val="00A97B1B"/>
    <w:rsid w:val="00AA06AE"/>
    <w:rsid w:val="00AA1C5A"/>
    <w:rsid w:val="00AA2D30"/>
    <w:rsid w:val="00AA3C5F"/>
    <w:rsid w:val="00AA48C6"/>
    <w:rsid w:val="00AA49B2"/>
    <w:rsid w:val="00AA53ED"/>
    <w:rsid w:val="00AA55E9"/>
    <w:rsid w:val="00AA5AC7"/>
    <w:rsid w:val="00AA5E9D"/>
    <w:rsid w:val="00AA6756"/>
    <w:rsid w:val="00AA7676"/>
    <w:rsid w:val="00AB0AD0"/>
    <w:rsid w:val="00AB0D24"/>
    <w:rsid w:val="00AB1429"/>
    <w:rsid w:val="00AB1A37"/>
    <w:rsid w:val="00AB2528"/>
    <w:rsid w:val="00AB3AEF"/>
    <w:rsid w:val="00AB4075"/>
    <w:rsid w:val="00AB455A"/>
    <w:rsid w:val="00AB4AC4"/>
    <w:rsid w:val="00AB50F9"/>
    <w:rsid w:val="00AB526A"/>
    <w:rsid w:val="00AB59BC"/>
    <w:rsid w:val="00AB59DF"/>
    <w:rsid w:val="00AB6057"/>
    <w:rsid w:val="00AB627E"/>
    <w:rsid w:val="00AB666E"/>
    <w:rsid w:val="00AB6677"/>
    <w:rsid w:val="00AB7087"/>
    <w:rsid w:val="00AB77CA"/>
    <w:rsid w:val="00AB7D55"/>
    <w:rsid w:val="00AC06DC"/>
    <w:rsid w:val="00AC07FD"/>
    <w:rsid w:val="00AC3016"/>
    <w:rsid w:val="00AC3512"/>
    <w:rsid w:val="00AC3C59"/>
    <w:rsid w:val="00AC47A4"/>
    <w:rsid w:val="00AC49D0"/>
    <w:rsid w:val="00AC4A7C"/>
    <w:rsid w:val="00AC51AD"/>
    <w:rsid w:val="00AC60A8"/>
    <w:rsid w:val="00AC741A"/>
    <w:rsid w:val="00AC79A3"/>
    <w:rsid w:val="00AD1F72"/>
    <w:rsid w:val="00AD23C6"/>
    <w:rsid w:val="00AD2F45"/>
    <w:rsid w:val="00AD3BA9"/>
    <w:rsid w:val="00AD3D8C"/>
    <w:rsid w:val="00AD4031"/>
    <w:rsid w:val="00AD467B"/>
    <w:rsid w:val="00AD4C05"/>
    <w:rsid w:val="00AD4C57"/>
    <w:rsid w:val="00AD558F"/>
    <w:rsid w:val="00AD5D93"/>
    <w:rsid w:val="00AD6010"/>
    <w:rsid w:val="00AD6CEE"/>
    <w:rsid w:val="00AD6E9A"/>
    <w:rsid w:val="00AD78E3"/>
    <w:rsid w:val="00AE03AE"/>
    <w:rsid w:val="00AE050F"/>
    <w:rsid w:val="00AE094B"/>
    <w:rsid w:val="00AE13FA"/>
    <w:rsid w:val="00AE1877"/>
    <w:rsid w:val="00AE235A"/>
    <w:rsid w:val="00AE4293"/>
    <w:rsid w:val="00AE4363"/>
    <w:rsid w:val="00AE454F"/>
    <w:rsid w:val="00AE45FE"/>
    <w:rsid w:val="00AE49CC"/>
    <w:rsid w:val="00AE4A1B"/>
    <w:rsid w:val="00AE4BDF"/>
    <w:rsid w:val="00AE50B1"/>
    <w:rsid w:val="00AE569F"/>
    <w:rsid w:val="00AE6825"/>
    <w:rsid w:val="00AE6892"/>
    <w:rsid w:val="00AE6C7F"/>
    <w:rsid w:val="00AE7308"/>
    <w:rsid w:val="00AE749D"/>
    <w:rsid w:val="00AF0215"/>
    <w:rsid w:val="00AF0691"/>
    <w:rsid w:val="00AF09F2"/>
    <w:rsid w:val="00AF0AB3"/>
    <w:rsid w:val="00AF0B33"/>
    <w:rsid w:val="00AF0BA5"/>
    <w:rsid w:val="00AF0D40"/>
    <w:rsid w:val="00AF15BA"/>
    <w:rsid w:val="00AF15BE"/>
    <w:rsid w:val="00AF1D14"/>
    <w:rsid w:val="00AF2003"/>
    <w:rsid w:val="00AF2B54"/>
    <w:rsid w:val="00AF2C1E"/>
    <w:rsid w:val="00AF3737"/>
    <w:rsid w:val="00AF5159"/>
    <w:rsid w:val="00AF578C"/>
    <w:rsid w:val="00AF586D"/>
    <w:rsid w:val="00AF5ECF"/>
    <w:rsid w:val="00AF6F71"/>
    <w:rsid w:val="00B00075"/>
    <w:rsid w:val="00B0082C"/>
    <w:rsid w:val="00B00FFF"/>
    <w:rsid w:val="00B01B96"/>
    <w:rsid w:val="00B028E2"/>
    <w:rsid w:val="00B0304D"/>
    <w:rsid w:val="00B0313F"/>
    <w:rsid w:val="00B0366A"/>
    <w:rsid w:val="00B0480F"/>
    <w:rsid w:val="00B04C03"/>
    <w:rsid w:val="00B05914"/>
    <w:rsid w:val="00B0624C"/>
    <w:rsid w:val="00B06851"/>
    <w:rsid w:val="00B0700F"/>
    <w:rsid w:val="00B07E5C"/>
    <w:rsid w:val="00B07FAA"/>
    <w:rsid w:val="00B1139A"/>
    <w:rsid w:val="00B121F9"/>
    <w:rsid w:val="00B12642"/>
    <w:rsid w:val="00B12DC6"/>
    <w:rsid w:val="00B13808"/>
    <w:rsid w:val="00B138E7"/>
    <w:rsid w:val="00B14F7A"/>
    <w:rsid w:val="00B151DF"/>
    <w:rsid w:val="00B15624"/>
    <w:rsid w:val="00B15FBD"/>
    <w:rsid w:val="00B162FB"/>
    <w:rsid w:val="00B16E33"/>
    <w:rsid w:val="00B2030D"/>
    <w:rsid w:val="00B208F4"/>
    <w:rsid w:val="00B20F92"/>
    <w:rsid w:val="00B2162A"/>
    <w:rsid w:val="00B21929"/>
    <w:rsid w:val="00B22826"/>
    <w:rsid w:val="00B2406C"/>
    <w:rsid w:val="00B246FA"/>
    <w:rsid w:val="00B25765"/>
    <w:rsid w:val="00B258CB"/>
    <w:rsid w:val="00B25DD9"/>
    <w:rsid w:val="00B25EE4"/>
    <w:rsid w:val="00B2650B"/>
    <w:rsid w:val="00B30D31"/>
    <w:rsid w:val="00B30FF5"/>
    <w:rsid w:val="00B312C2"/>
    <w:rsid w:val="00B316FB"/>
    <w:rsid w:val="00B32A18"/>
    <w:rsid w:val="00B330F1"/>
    <w:rsid w:val="00B3343F"/>
    <w:rsid w:val="00B33651"/>
    <w:rsid w:val="00B33B6A"/>
    <w:rsid w:val="00B33FF5"/>
    <w:rsid w:val="00B34832"/>
    <w:rsid w:val="00B348DD"/>
    <w:rsid w:val="00B34BCF"/>
    <w:rsid w:val="00B36C4D"/>
    <w:rsid w:val="00B41229"/>
    <w:rsid w:val="00B42586"/>
    <w:rsid w:val="00B429EA"/>
    <w:rsid w:val="00B44A8D"/>
    <w:rsid w:val="00B44B65"/>
    <w:rsid w:val="00B44FB9"/>
    <w:rsid w:val="00B45437"/>
    <w:rsid w:val="00B45AA4"/>
    <w:rsid w:val="00B45E96"/>
    <w:rsid w:val="00B4723C"/>
    <w:rsid w:val="00B50191"/>
    <w:rsid w:val="00B50859"/>
    <w:rsid w:val="00B5109A"/>
    <w:rsid w:val="00B51606"/>
    <w:rsid w:val="00B51623"/>
    <w:rsid w:val="00B51EF8"/>
    <w:rsid w:val="00B52246"/>
    <w:rsid w:val="00B5225B"/>
    <w:rsid w:val="00B52A56"/>
    <w:rsid w:val="00B52ACB"/>
    <w:rsid w:val="00B52DA9"/>
    <w:rsid w:val="00B52DEF"/>
    <w:rsid w:val="00B52FA9"/>
    <w:rsid w:val="00B53018"/>
    <w:rsid w:val="00B5328F"/>
    <w:rsid w:val="00B54970"/>
    <w:rsid w:val="00B54F16"/>
    <w:rsid w:val="00B5543C"/>
    <w:rsid w:val="00B561D5"/>
    <w:rsid w:val="00B5636F"/>
    <w:rsid w:val="00B5661D"/>
    <w:rsid w:val="00B566AA"/>
    <w:rsid w:val="00B57AC3"/>
    <w:rsid w:val="00B6029F"/>
    <w:rsid w:val="00B602D2"/>
    <w:rsid w:val="00B609A1"/>
    <w:rsid w:val="00B60CBE"/>
    <w:rsid w:val="00B61150"/>
    <w:rsid w:val="00B61C8F"/>
    <w:rsid w:val="00B62000"/>
    <w:rsid w:val="00B62206"/>
    <w:rsid w:val="00B630B3"/>
    <w:rsid w:val="00B645C0"/>
    <w:rsid w:val="00B64A66"/>
    <w:rsid w:val="00B658C3"/>
    <w:rsid w:val="00B65DCB"/>
    <w:rsid w:val="00B665F9"/>
    <w:rsid w:val="00B66DC6"/>
    <w:rsid w:val="00B67316"/>
    <w:rsid w:val="00B67440"/>
    <w:rsid w:val="00B674AA"/>
    <w:rsid w:val="00B678F7"/>
    <w:rsid w:val="00B708A1"/>
    <w:rsid w:val="00B708D5"/>
    <w:rsid w:val="00B7264C"/>
    <w:rsid w:val="00B728FF"/>
    <w:rsid w:val="00B75300"/>
    <w:rsid w:val="00B755ED"/>
    <w:rsid w:val="00B759EC"/>
    <w:rsid w:val="00B76008"/>
    <w:rsid w:val="00B7601E"/>
    <w:rsid w:val="00B802FA"/>
    <w:rsid w:val="00B8127E"/>
    <w:rsid w:val="00B81D66"/>
    <w:rsid w:val="00B8374F"/>
    <w:rsid w:val="00B83A23"/>
    <w:rsid w:val="00B83B17"/>
    <w:rsid w:val="00B843A2"/>
    <w:rsid w:val="00B84BC8"/>
    <w:rsid w:val="00B84EF4"/>
    <w:rsid w:val="00B8511E"/>
    <w:rsid w:val="00B854D5"/>
    <w:rsid w:val="00B85A0B"/>
    <w:rsid w:val="00B85BE4"/>
    <w:rsid w:val="00B865A9"/>
    <w:rsid w:val="00B8671F"/>
    <w:rsid w:val="00B86F34"/>
    <w:rsid w:val="00B87016"/>
    <w:rsid w:val="00B901F8"/>
    <w:rsid w:val="00B90471"/>
    <w:rsid w:val="00B913AC"/>
    <w:rsid w:val="00B914DE"/>
    <w:rsid w:val="00B91F9C"/>
    <w:rsid w:val="00B92400"/>
    <w:rsid w:val="00B92C98"/>
    <w:rsid w:val="00B92D0E"/>
    <w:rsid w:val="00B92E3B"/>
    <w:rsid w:val="00B9333A"/>
    <w:rsid w:val="00B93467"/>
    <w:rsid w:val="00B93C1C"/>
    <w:rsid w:val="00B93CB9"/>
    <w:rsid w:val="00B9421F"/>
    <w:rsid w:val="00B95055"/>
    <w:rsid w:val="00B95806"/>
    <w:rsid w:val="00B96458"/>
    <w:rsid w:val="00B96947"/>
    <w:rsid w:val="00B96BE8"/>
    <w:rsid w:val="00B96C42"/>
    <w:rsid w:val="00B96FA0"/>
    <w:rsid w:val="00B9722F"/>
    <w:rsid w:val="00BA0FAA"/>
    <w:rsid w:val="00BA1BFC"/>
    <w:rsid w:val="00BA2410"/>
    <w:rsid w:val="00BA26FF"/>
    <w:rsid w:val="00BA2D40"/>
    <w:rsid w:val="00BA3DDA"/>
    <w:rsid w:val="00BA3FD5"/>
    <w:rsid w:val="00BA5900"/>
    <w:rsid w:val="00BA6892"/>
    <w:rsid w:val="00BA6EEA"/>
    <w:rsid w:val="00BA762B"/>
    <w:rsid w:val="00BA7C87"/>
    <w:rsid w:val="00BB098C"/>
    <w:rsid w:val="00BB0C46"/>
    <w:rsid w:val="00BB129B"/>
    <w:rsid w:val="00BB1308"/>
    <w:rsid w:val="00BB189B"/>
    <w:rsid w:val="00BB1E47"/>
    <w:rsid w:val="00BB23D3"/>
    <w:rsid w:val="00BB271F"/>
    <w:rsid w:val="00BB291F"/>
    <w:rsid w:val="00BB29E6"/>
    <w:rsid w:val="00BB2EC0"/>
    <w:rsid w:val="00BB4AEF"/>
    <w:rsid w:val="00BB4C76"/>
    <w:rsid w:val="00BB554C"/>
    <w:rsid w:val="00BB56B4"/>
    <w:rsid w:val="00BB5CA8"/>
    <w:rsid w:val="00BB67AD"/>
    <w:rsid w:val="00BB6E7B"/>
    <w:rsid w:val="00BB75EA"/>
    <w:rsid w:val="00BB7B07"/>
    <w:rsid w:val="00BC042E"/>
    <w:rsid w:val="00BC0586"/>
    <w:rsid w:val="00BC0E83"/>
    <w:rsid w:val="00BC0F9B"/>
    <w:rsid w:val="00BC1046"/>
    <w:rsid w:val="00BC18B9"/>
    <w:rsid w:val="00BC1D6B"/>
    <w:rsid w:val="00BC1DF0"/>
    <w:rsid w:val="00BC226B"/>
    <w:rsid w:val="00BC4288"/>
    <w:rsid w:val="00BC435F"/>
    <w:rsid w:val="00BC4A78"/>
    <w:rsid w:val="00BC6865"/>
    <w:rsid w:val="00BC6A02"/>
    <w:rsid w:val="00BC6D4A"/>
    <w:rsid w:val="00BC6E96"/>
    <w:rsid w:val="00BC7FD6"/>
    <w:rsid w:val="00BD023A"/>
    <w:rsid w:val="00BD1309"/>
    <w:rsid w:val="00BD134C"/>
    <w:rsid w:val="00BD13C4"/>
    <w:rsid w:val="00BD19BD"/>
    <w:rsid w:val="00BD1BD1"/>
    <w:rsid w:val="00BD1C1F"/>
    <w:rsid w:val="00BD3233"/>
    <w:rsid w:val="00BD42E5"/>
    <w:rsid w:val="00BD4548"/>
    <w:rsid w:val="00BD709D"/>
    <w:rsid w:val="00BD7948"/>
    <w:rsid w:val="00BD79DB"/>
    <w:rsid w:val="00BD7EEF"/>
    <w:rsid w:val="00BE1485"/>
    <w:rsid w:val="00BE1645"/>
    <w:rsid w:val="00BE1CDE"/>
    <w:rsid w:val="00BE266F"/>
    <w:rsid w:val="00BE3A00"/>
    <w:rsid w:val="00BE3A6D"/>
    <w:rsid w:val="00BE3BFC"/>
    <w:rsid w:val="00BE4912"/>
    <w:rsid w:val="00BE51D1"/>
    <w:rsid w:val="00BE5B55"/>
    <w:rsid w:val="00BE67B8"/>
    <w:rsid w:val="00BE6889"/>
    <w:rsid w:val="00BE764E"/>
    <w:rsid w:val="00BE7A0A"/>
    <w:rsid w:val="00BE7B76"/>
    <w:rsid w:val="00BE7C14"/>
    <w:rsid w:val="00BE7C30"/>
    <w:rsid w:val="00BE7D56"/>
    <w:rsid w:val="00BF00FF"/>
    <w:rsid w:val="00BF0267"/>
    <w:rsid w:val="00BF04A3"/>
    <w:rsid w:val="00BF0A38"/>
    <w:rsid w:val="00BF0ADE"/>
    <w:rsid w:val="00BF18EA"/>
    <w:rsid w:val="00BF1CA8"/>
    <w:rsid w:val="00BF229F"/>
    <w:rsid w:val="00BF2D66"/>
    <w:rsid w:val="00BF3388"/>
    <w:rsid w:val="00BF3A19"/>
    <w:rsid w:val="00BF3BD0"/>
    <w:rsid w:val="00BF3C5D"/>
    <w:rsid w:val="00BF432A"/>
    <w:rsid w:val="00BF4685"/>
    <w:rsid w:val="00BF5537"/>
    <w:rsid w:val="00BF5CF1"/>
    <w:rsid w:val="00BF638F"/>
    <w:rsid w:val="00BF70AB"/>
    <w:rsid w:val="00BF70FC"/>
    <w:rsid w:val="00BF787F"/>
    <w:rsid w:val="00C020F4"/>
    <w:rsid w:val="00C02DF8"/>
    <w:rsid w:val="00C03392"/>
    <w:rsid w:val="00C03B57"/>
    <w:rsid w:val="00C0408C"/>
    <w:rsid w:val="00C054B7"/>
    <w:rsid w:val="00C05556"/>
    <w:rsid w:val="00C056F4"/>
    <w:rsid w:val="00C0572B"/>
    <w:rsid w:val="00C072BD"/>
    <w:rsid w:val="00C07BFE"/>
    <w:rsid w:val="00C07D4A"/>
    <w:rsid w:val="00C10683"/>
    <w:rsid w:val="00C10CDF"/>
    <w:rsid w:val="00C10DA2"/>
    <w:rsid w:val="00C11609"/>
    <w:rsid w:val="00C118B4"/>
    <w:rsid w:val="00C11AE7"/>
    <w:rsid w:val="00C1284A"/>
    <w:rsid w:val="00C129EF"/>
    <w:rsid w:val="00C12E06"/>
    <w:rsid w:val="00C13207"/>
    <w:rsid w:val="00C13818"/>
    <w:rsid w:val="00C13B54"/>
    <w:rsid w:val="00C13CEF"/>
    <w:rsid w:val="00C1417F"/>
    <w:rsid w:val="00C141F8"/>
    <w:rsid w:val="00C14959"/>
    <w:rsid w:val="00C155E1"/>
    <w:rsid w:val="00C1560D"/>
    <w:rsid w:val="00C15653"/>
    <w:rsid w:val="00C1576C"/>
    <w:rsid w:val="00C15B12"/>
    <w:rsid w:val="00C15C32"/>
    <w:rsid w:val="00C164EC"/>
    <w:rsid w:val="00C165C2"/>
    <w:rsid w:val="00C16FC0"/>
    <w:rsid w:val="00C200E8"/>
    <w:rsid w:val="00C20A74"/>
    <w:rsid w:val="00C20DDA"/>
    <w:rsid w:val="00C21493"/>
    <w:rsid w:val="00C218C1"/>
    <w:rsid w:val="00C2193D"/>
    <w:rsid w:val="00C21CA1"/>
    <w:rsid w:val="00C22975"/>
    <w:rsid w:val="00C22CED"/>
    <w:rsid w:val="00C22DC5"/>
    <w:rsid w:val="00C23751"/>
    <w:rsid w:val="00C23A4C"/>
    <w:rsid w:val="00C23F5D"/>
    <w:rsid w:val="00C23F76"/>
    <w:rsid w:val="00C25267"/>
    <w:rsid w:val="00C25DE7"/>
    <w:rsid w:val="00C25FE6"/>
    <w:rsid w:val="00C266EF"/>
    <w:rsid w:val="00C26C1E"/>
    <w:rsid w:val="00C2749A"/>
    <w:rsid w:val="00C275D9"/>
    <w:rsid w:val="00C3177F"/>
    <w:rsid w:val="00C32279"/>
    <w:rsid w:val="00C3269D"/>
    <w:rsid w:val="00C339FB"/>
    <w:rsid w:val="00C33A5B"/>
    <w:rsid w:val="00C33CA2"/>
    <w:rsid w:val="00C33F9B"/>
    <w:rsid w:val="00C353A8"/>
    <w:rsid w:val="00C35CD4"/>
    <w:rsid w:val="00C36D30"/>
    <w:rsid w:val="00C4053E"/>
    <w:rsid w:val="00C4088C"/>
    <w:rsid w:val="00C40C05"/>
    <w:rsid w:val="00C40E72"/>
    <w:rsid w:val="00C41191"/>
    <w:rsid w:val="00C41380"/>
    <w:rsid w:val="00C4142C"/>
    <w:rsid w:val="00C425FE"/>
    <w:rsid w:val="00C428CE"/>
    <w:rsid w:val="00C4430C"/>
    <w:rsid w:val="00C4649E"/>
    <w:rsid w:val="00C4692C"/>
    <w:rsid w:val="00C4738C"/>
    <w:rsid w:val="00C477DA"/>
    <w:rsid w:val="00C50F28"/>
    <w:rsid w:val="00C516D6"/>
    <w:rsid w:val="00C51EB3"/>
    <w:rsid w:val="00C53204"/>
    <w:rsid w:val="00C54603"/>
    <w:rsid w:val="00C5475B"/>
    <w:rsid w:val="00C54E0B"/>
    <w:rsid w:val="00C570E5"/>
    <w:rsid w:val="00C60066"/>
    <w:rsid w:val="00C602CF"/>
    <w:rsid w:val="00C60413"/>
    <w:rsid w:val="00C61B41"/>
    <w:rsid w:val="00C6209F"/>
    <w:rsid w:val="00C6246D"/>
    <w:rsid w:val="00C63306"/>
    <w:rsid w:val="00C6393F"/>
    <w:rsid w:val="00C6424E"/>
    <w:rsid w:val="00C64DC1"/>
    <w:rsid w:val="00C6529B"/>
    <w:rsid w:val="00C653FA"/>
    <w:rsid w:val="00C65A1A"/>
    <w:rsid w:val="00C667C0"/>
    <w:rsid w:val="00C6684F"/>
    <w:rsid w:val="00C66E80"/>
    <w:rsid w:val="00C67246"/>
    <w:rsid w:val="00C678B9"/>
    <w:rsid w:val="00C67BB6"/>
    <w:rsid w:val="00C713E3"/>
    <w:rsid w:val="00C71558"/>
    <w:rsid w:val="00C71789"/>
    <w:rsid w:val="00C72064"/>
    <w:rsid w:val="00C72595"/>
    <w:rsid w:val="00C7280F"/>
    <w:rsid w:val="00C729C6"/>
    <w:rsid w:val="00C72EA3"/>
    <w:rsid w:val="00C73367"/>
    <w:rsid w:val="00C744D1"/>
    <w:rsid w:val="00C74A5D"/>
    <w:rsid w:val="00C74CE6"/>
    <w:rsid w:val="00C74D37"/>
    <w:rsid w:val="00C7629E"/>
    <w:rsid w:val="00C76A4A"/>
    <w:rsid w:val="00C800F1"/>
    <w:rsid w:val="00C804BA"/>
    <w:rsid w:val="00C81086"/>
    <w:rsid w:val="00C8112F"/>
    <w:rsid w:val="00C817F4"/>
    <w:rsid w:val="00C81ECA"/>
    <w:rsid w:val="00C82281"/>
    <w:rsid w:val="00C823AE"/>
    <w:rsid w:val="00C82B3A"/>
    <w:rsid w:val="00C84F0F"/>
    <w:rsid w:val="00C855FF"/>
    <w:rsid w:val="00C86780"/>
    <w:rsid w:val="00C86EE5"/>
    <w:rsid w:val="00C90612"/>
    <w:rsid w:val="00C9081D"/>
    <w:rsid w:val="00C90A96"/>
    <w:rsid w:val="00C91186"/>
    <w:rsid w:val="00C91CBA"/>
    <w:rsid w:val="00C92BEC"/>
    <w:rsid w:val="00C936BA"/>
    <w:rsid w:val="00C93753"/>
    <w:rsid w:val="00C93DEC"/>
    <w:rsid w:val="00C944AD"/>
    <w:rsid w:val="00C95114"/>
    <w:rsid w:val="00C970B6"/>
    <w:rsid w:val="00C9785E"/>
    <w:rsid w:val="00CA1625"/>
    <w:rsid w:val="00CA180D"/>
    <w:rsid w:val="00CA2506"/>
    <w:rsid w:val="00CA3547"/>
    <w:rsid w:val="00CA3894"/>
    <w:rsid w:val="00CA3F0A"/>
    <w:rsid w:val="00CA4544"/>
    <w:rsid w:val="00CA47CC"/>
    <w:rsid w:val="00CA68AF"/>
    <w:rsid w:val="00CA69F3"/>
    <w:rsid w:val="00CA6A79"/>
    <w:rsid w:val="00CA7C29"/>
    <w:rsid w:val="00CA7EC3"/>
    <w:rsid w:val="00CB01AF"/>
    <w:rsid w:val="00CB1A78"/>
    <w:rsid w:val="00CB24B9"/>
    <w:rsid w:val="00CB267B"/>
    <w:rsid w:val="00CB2684"/>
    <w:rsid w:val="00CB2B22"/>
    <w:rsid w:val="00CB2BCF"/>
    <w:rsid w:val="00CB3A57"/>
    <w:rsid w:val="00CB3FB7"/>
    <w:rsid w:val="00CB4077"/>
    <w:rsid w:val="00CB53B6"/>
    <w:rsid w:val="00CB58B3"/>
    <w:rsid w:val="00CB616B"/>
    <w:rsid w:val="00CB619F"/>
    <w:rsid w:val="00CB6254"/>
    <w:rsid w:val="00CB6CCB"/>
    <w:rsid w:val="00CB7AFF"/>
    <w:rsid w:val="00CB7B11"/>
    <w:rsid w:val="00CC0325"/>
    <w:rsid w:val="00CC057C"/>
    <w:rsid w:val="00CC0932"/>
    <w:rsid w:val="00CC0C0F"/>
    <w:rsid w:val="00CC0CD5"/>
    <w:rsid w:val="00CC11CA"/>
    <w:rsid w:val="00CC1770"/>
    <w:rsid w:val="00CC195B"/>
    <w:rsid w:val="00CC2688"/>
    <w:rsid w:val="00CC2786"/>
    <w:rsid w:val="00CC318D"/>
    <w:rsid w:val="00CC3360"/>
    <w:rsid w:val="00CC35E6"/>
    <w:rsid w:val="00CC4435"/>
    <w:rsid w:val="00CC58D8"/>
    <w:rsid w:val="00CC6D9B"/>
    <w:rsid w:val="00CC6E40"/>
    <w:rsid w:val="00CC6E6C"/>
    <w:rsid w:val="00CC7543"/>
    <w:rsid w:val="00CC7691"/>
    <w:rsid w:val="00CC790B"/>
    <w:rsid w:val="00CC796C"/>
    <w:rsid w:val="00CD0EAB"/>
    <w:rsid w:val="00CD2AA7"/>
    <w:rsid w:val="00CD2F06"/>
    <w:rsid w:val="00CD3271"/>
    <w:rsid w:val="00CD3353"/>
    <w:rsid w:val="00CD4492"/>
    <w:rsid w:val="00CD5092"/>
    <w:rsid w:val="00CD6990"/>
    <w:rsid w:val="00CD72DB"/>
    <w:rsid w:val="00CD7446"/>
    <w:rsid w:val="00CD7E56"/>
    <w:rsid w:val="00CE0302"/>
    <w:rsid w:val="00CE04F4"/>
    <w:rsid w:val="00CE05C5"/>
    <w:rsid w:val="00CE0C23"/>
    <w:rsid w:val="00CE0EB2"/>
    <w:rsid w:val="00CE16D6"/>
    <w:rsid w:val="00CE176F"/>
    <w:rsid w:val="00CE1906"/>
    <w:rsid w:val="00CE1CDF"/>
    <w:rsid w:val="00CE1F29"/>
    <w:rsid w:val="00CE2E52"/>
    <w:rsid w:val="00CE384B"/>
    <w:rsid w:val="00CE4756"/>
    <w:rsid w:val="00CE4825"/>
    <w:rsid w:val="00CE4840"/>
    <w:rsid w:val="00CE4A17"/>
    <w:rsid w:val="00CE5A24"/>
    <w:rsid w:val="00CE6937"/>
    <w:rsid w:val="00CE6B75"/>
    <w:rsid w:val="00CE71FE"/>
    <w:rsid w:val="00CF01B4"/>
    <w:rsid w:val="00CF03FF"/>
    <w:rsid w:val="00CF12E0"/>
    <w:rsid w:val="00CF20E7"/>
    <w:rsid w:val="00CF24BF"/>
    <w:rsid w:val="00CF2ECA"/>
    <w:rsid w:val="00CF389F"/>
    <w:rsid w:val="00CF4249"/>
    <w:rsid w:val="00CF4743"/>
    <w:rsid w:val="00CF4BD4"/>
    <w:rsid w:val="00CF5CDA"/>
    <w:rsid w:val="00CF6CDE"/>
    <w:rsid w:val="00CF6D35"/>
    <w:rsid w:val="00CF6DBF"/>
    <w:rsid w:val="00CF75D8"/>
    <w:rsid w:val="00D007AD"/>
    <w:rsid w:val="00D009A9"/>
    <w:rsid w:val="00D00A1C"/>
    <w:rsid w:val="00D00FC7"/>
    <w:rsid w:val="00D02007"/>
    <w:rsid w:val="00D024C6"/>
    <w:rsid w:val="00D038D9"/>
    <w:rsid w:val="00D04E80"/>
    <w:rsid w:val="00D06B99"/>
    <w:rsid w:val="00D07041"/>
    <w:rsid w:val="00D101D2"/>
    <w:rsid w:val="00D10237"/>
    <w:rsid w:val="00D11683"/>
    <w:rsid w:val="00D12A3B"/>
    <w:rsid w:val="00D13121"/>
    <w:rsid w:val="00D14F8D"/>
    <w:rsid w:val="00D157FC"/>
    <w:rsid w:val="00D15ECA"/>
    <w:rsid w:val="00D17A35"/>
    <w:rsid w:val="00D20A7F"/>
    <w:rsid w:val="00D212AE"/>
    <w:rsid w:val="00D21465"/>
    <w:rsid w:val="00D21D01"/>
    <w:rsid w:val="00D22457"/>
    <w:rsid w:val="00D22550"/>
    <w:rsid w:val="00D2339F"/>
    <w:rsid w:val="00D236FD"/>
    <w:rsid w:val="00D23C8B"/>
    <w:rsid w:val="00D23D61"/>
    <w:rsid w:val="00D24DC4"/>
    <w:rsid w:val="00D25050"/>
    <w:rsid w:val="00D26EBF"/>
    <w:rsid w:val="00D27286"/>
    <w:rsid w:val="00D279C4"/>
    <w:rsid w:val="00D27B39"/>
    <w:rsid w:val="00D3069D"/>
    <w:rsid w:val="00D31227"/>
    <w:rsid w:val="00D31D45"/>
    <w:rsid w:val="00D33468"/>
    <w:rsid w:val="00D3558E"/>
    <w:rsid w:val="00D360B0"/>
    <w:rsid w:val="00D361C4"/>
    <w:rsid w:val="00D36D01"/>
    <w:rsid w:val="00D36FDD"/>
    <w:rsid w:val="00D373FE"/>
    <w:rsid w:val="00D37787"/>
    <w:rsid w:val="00D37908"/>
    <w:rsid w:val="00D37FDA"/>
    <w:rsid w:val="00D40785"/>
    <w:rsid w:val="00D41F25"/>
    <w:rsid w:val="00D42B94"/>
    <w:rsid w:val="00D43EDD"/>
    <w:rsid w:val="00D4449E"/>
    <w:rsid w:val="00D450E1"/>
    <w:rsid w:val="00D45429"/>
    <w:rsid w:val="00D45808"/>
    <w:rsid w:val="00D459B3"/>
    <w:rsid w:val="00D46834"/>
    <w:rsid w:val="00D46A58"/>
    <w:rsid w:val="00D46CE4"/>
    <w:rsid w:val="00D50ACA"/>
    <w:rsid w:val="00D50CB2"/>
    <w:rsid w:val="00D50D93"/>
    <w:rsid w:val="00D515FA"/>
    <w:rsid w:val="00D5162F"/>
    <w:rsid w:val="00D51778"/>
    <w:rsid w:val="00D520EF"/>
    <w:rsid w:val="00D5225B"/>
    <w:rsid w:val="00D522E8"/>
    <w:rsid w:val="00D5324D"/>
    <w:rsid w:val="00D5598C"/>
    <w:rsid w:val="00D559D2"/>
    <w:rsid w:val="00D55D2D"/>
    <w:rsid w:val="00D567F6"/>
    <w:rsid w:val="00D57072"/>
    <w:rsid w:val="00D57225"/>
    <w:rsid w:val="00D57241"/>
    <w:rsid w:val="00D57776"/>
    <w:rsid w:val="00D578D2"/>
    <w:rsid w:val="00D6004C"/>
    <w:rsid w:val="00D60BD8"/>
    <w:rsid w:val="00D611BC"/>
    <w:rsid w:val="00D61DB4"/>
    <w:rsid w:val="00D62762"/>
    <w:rsid w:val="00D630C9"/>
    <w:rsid w:val="00D63387"/>
    <w:rsid w:val="00D64867"/>
    <w:rsid w:val="00D659B6"/>
    <w:rsid w:val="00D66FD3"/>
    <w:rsid w:val="00D67E87"/>
    <w:rsid w:val="00D705B2"/>
    <w:rsid w:val="00D70AF1"/>
    <w:rsid w:val="00D72080"/>
    <w:rsid w:val="00D72438"/>
    <w:rsid w:val="00D72C4D"/>
    <w:rsid w:val="00D73AF2"/>
    <w:rsid w:val="00D73B43"/>
    <w:rsid w:val="00D73E11"/>
    <w:rsid w:val="00D740F6"/>
    <w:rsid w:val="00D758C7"/>
    <w:rsid w:val="00D76493"/>
    <w:rsid w:val="00D771F3"/>
    <w:rsid w:val="00D7782F"/>
    <w:rsid w:val="00D80079"/>
    <w:rsid w:val="00D800D7"/>
    <w:rsid w:val="00D80357"/>
    <w:rsid w:val="00D80A16"/>
    <w:rsid w:val="00D80A49"/>
    <w:rsid w:val="00D80EC4"/>
    <w:rsid w:val="00D80F84"/>
    <w:rsid w:val="00D81467"/>
    <w:rsid w:val="00D818D6"/>
    <w:rsid w:val="00D81D34"/>
    <w:rsid w:val="00D8263D"/>
    <w:rsid w:val="00D82828"/>
    <w:rsid w:val="00D82A8C"/>
    <w:rsid w:val="00D82AC1"/>
    <w:rsid w:val="00D82D69"/>
    <w:rsid w:val="00D8428C"/>
    <w:rsid w:val="00D847E3"/>
    <w:rsid w:val="00D8523A"/>
    <w:rsid w:val="00D8544D"/>
    <w:rsid w:val="00D85F7A"/>
    <w:rsid w:val="00D860F5"/>
    <w:rsid w:val="00D86532"/>
    <w:rsid w:val="00D87109"/>
    <w:rsid w:val="00D8756E"/>
    <w:rsid w:val="00D87F16"/>
    <w:rsid w:val="00D906AA"/>
    <w:rsid w:val="00D90B7F"/>
    <w:rsid w:val="00D90F2F"/>
    <w:rsid w:val="00D91345"/>
    <w:rsid w:val="00D913A7"/>
    <w:rsid w:val="00D92082"/>
    <w:rsid w:val="00D927F8"/>
    <w:rsid w:val="00D9285E"/>
    <w:rsid w:val="00D9315F"/>
    <w:rsid w:val="00D9366B"/>
    <w:rsid w:val="00D9391B"/>
    <w:rsid w:val="00D93D19"/>
    <w:rsid w:val="00D947E8"/>
    <w:rsid w:val="00D94ACF"/>
    <w:rsid w:val="00D94C2E"/>
    <w:rsid w:val="00D94CBA"/>
    <w:rsid w:val="00D9620C"/>
    <w:rsid w:val="00D96251"/>
    <w:rsid w:val="00D96EE6"/>
    <w:rsid w:val="00D96F02"/>
    <w:rsid w:val="00D96FD4"/>
    <w:rsid w:val="00D97081"/>
    <w:rsid w:val="00D978DD"/>
    <w:rsid w:val="00D97AF4"/>
    <w:rsid w:val="00DA1360"/>
    <w:rsid w:val="00DA1F69"/>
    <w:rsid w:val="00DA2492"/>
    <w:rsid w:val="00DA29CA"/>
    <w:rsid w:val="00DA3002"/>
    <w:rsid w:val="00DA3B3D"/>
    <w:rsid w:val="00DA3DD0"/>
    <w:rsid w:val="00DA4004"/>
    <w:rsid w:val="00DA47AF"/>
    <w:rsid w:val="00DA4B81"/>
    <w:rsid w:val="00DA5343"/>
    <w:rsid w:val="00DA547B"/>
    <w:rsid w:val="00DA5571"/>
    <w:rsid w:val="00DA5A8C"/>
    <w:rsid w:val="00DA5ADC"/>
    <w:rsid w:val="00DA5F93"/>
    <w:rsid w:val="00DA7328"/>
    <w:rsid w:val="00DB0119"/>
    <w:rsid w:val="00DB105C"/>
    <w:rsid w:val="00DB13A1"/>
    <w:rsid w:val="00DB1BCE"/>
    <w:rsid w:val="00DB1EE4"/>
    <w:rsid w:val="00DB200C"/>
    <w:rsid w:val="00DB2AB5"/>
    <w:rsid w:val="00DB2F44"/>
    <w:rsid w:val="00DB3BA2"/>
    <w:rsid w:val="00DB42FE"/>
    <w:rsid w:val="00DB4955"/>
    <w:rsid w:val="00DB4C95"/>
    <w:rsid w:val="00DB4F67"/>
    <w:rsid w:val="00DB4FDB"/>
    <w:rsid w:val="00DB501B"/>
    <w:rsid w:val="00DB634F"/>
    <w:rsid w:val="00DB6369"/>
    <w:rsid w:val="00DB679D"/>
    <w:rsid w:val="00DB68F8"/>
    <w:rsid w:val="00DB6AEA"/>
    <w:rsid w:val="00DB7055"/>
    <w:rsid w:val="00DB728A"/>
    <w:rsid w:val="00DB7AFE"/>
    <w:rsid w:val="00DC02A9"/>
    <w:rsid w:val="00DC0BBF"/>
    <w:rsid w:val="00DC13C9"/>
    <w:rsid w:val="00DC3117"/>
    <w:rsid w:val="00DC3162"/>
    <w:rsid w:val="00DC363F"/>
    <w:rsid w:val="00DC45A0"/>
    <w:rsid w:val="00DC47F9"/>
    <w:rsid w:val="00DC5FA7"/>
    <w:rsid w:val="00DC72E4"/>
    <w:rsid w:val="00DD0513"/>
    <w:rsid w:val="00DD072D"/>
    <w:rsid w:val="00DD07C8"/>
    <w:rsid w:val="00DD0ED6"/>
    <w:rsid w:val="00DD1A2E"/>
    <w:rsid w:val="00DD2558"/>
    <w:rsid w:val="00DD32E0"/>
    <w:rsid w:val="00DD36DC"/>
    <w:rsid w:val="00DD393E"/>
    <w:rsid w:val="00DD4138"/>
    <w:rsid w:val="00DD427F"/>
    <w:rsid w:val="00DD4799"/>
    <w:rsid w:val="00DD5549"/>
    <w:rsid w:val="00DD58F1"/>
    <w:rsid w:val="00DD5A06"/>
    <w:rsid w:val="00DD6AEF"/>
    <w:rsid w:val="00DD73FC"/>
    <w:rsid w:val="00DD7A10"/>
    <w:rsid w:val="00DD7AB0"/>
    <w:rsid w:val="00DD7D83"/>
    <w:rsid w:val="00DE114E"/>
    <w:rsid w:val="00DE1A54"/>
    <w:rsid w:val="00DE249B"/>
    <w:rsid w:val="00DE2FDD"/>
    <w:rsid w:val="00DE302C"/>
    <w:rsid w:val="00DE394C"/>
    <w:rsid w:val="00DE39EB"/>
    <w:rsid w:val="00DE4013"/>
    <w:rsid w:val="00DE4698"/>
    <w:rsid w:val="00DE48A2"/>
    <w:rsid w:val="00DE5486"/>
    <w:rsid w:val="00DE6176"/>
    <w:rsid w:val="00DE6A1D"/>
    <w:rsid w:val="00DE7049"/>
    <w:rsid w:val="00DE7735"/>
    <w:rsid w:val="00DE77A1"/>
    <w:rsid w:val="00DE7C1B"/>
    <w:rsid w:val="00DF0EE6"/>
    <w:rsid w:val="00DF12E1"/>
    <w:rsid w:val="00DF1368"/>
    <w:rsid w:val="00DF2648"/>
    <w:rsid w:val="00DF3CA4"/>
    <w:rsid w:val="00DF3FD9"/>
    <w:rsid w:val="00DF4E6B"/>
    <w:rsid w:val="00DF537D"/>
    <w:rsid w:val="00DF54A1"/>
    <w:rsid w:val="00DF5800"/>
    <w:rsid w:val="00DF5802"/>
    <w:rsid w:val="00DF5818"/>
    <w:rsid w:val="00DF5D40"/>
    <w:rsid w:val="00DF5FB1"/>
    <w:rsid w:val="00DF677A"/>
    <w:rsid w:val="00DF77C2"/>
    <w:rsid w:val="00DF794A"/>
    <w:rsid w:val="00DF7B19"/>
    <w:rsid w:val="00E00307"/>
    <w:rsid w:val="00E007C6"/>
    <w:rsid w:val="00E01222"/>
    <w:rsid w:val="00E013AB"/>
    <w:rsid w:val="00E0175B"/>
    <w:rsid w:val="00E017FB"/>
    <w:rsid w:val="00E01C0D"/>
    <w:rsid w:val="00E01CB1"/>
    <w:rsid w:val="00E02A30"/>
    <w:rsid w:val="00E02FC0"/>
    <w:rsid w:val="00E030DC"/>
    <w:rsid w:val="00E0346F"/>
    <w:rsid w:val="00E03B5D"/>
    <w:rsid w:val="00E03B75"/>
    <w:rsid w:val="00E04175"/>
    <w:rsid w:val="00E04942"/>
    <w:rsid w:val="00E05A2E"/>
    <w:rsid w:val="00E06DF7"/>
    <w:rsid w:val="00E074DF"/>
    <w:rsid w:val="00E076C9"/>
    <w:rsid w:val="00E078A1"/>
    <w:rsid w:val="00E07EDF"/>
    <w:rsid w:val="00E10692"/>
    <w:rsid w:val="00E111B5"/>
    <w:rsid w:val="00E11B22"/>
    <w:rsid w:val="00E11C60"/>
    <w:rsid w:val="00E120E6"/>
    <w:rsid w:val="00E12517"/>
    <w:rsid w:val="00E126E6"/>
    <w:rsid w:val="00E12C6D"/>
    <w:rsid w:val="00E12E03"/>
    <w:rsid w:val="00E13665"/>
    <w:rsid w:val="00E13B3E"/>
    <w:rsid w:val="00E14348"/>
    <w:rsid w:val="00E1449B"/>
    <w:rsid w:val="00E14BEC"/>
    <w:rsid w:val="00E15062"/>
    <w:rsid w:val="00E15FB6"/>
    <w:rsid w:val="00E164D7"/>
    <w:rsid w:val="00E16D8A"/>
    <w:rsid w:val="00E17C5A"/>
    <w:rsid w:val="00E205E1"/>
    <w:rsid w:val="00E20858"/>
    <w:rsid w:val="00E2158F"/>
    <w:rsid w:val="00E21AA0"/>
    <w:rsid w:val="00E21AF1"/>
    <w:rsid w:val="00E21C01"/>
    <w:rsid w:val="00E21CFF"/>
    <w:rsid w:val="00E221CF"/>
    <w:rsid w:val="00E226E3"/>
    <w:rsid w:val="00E22DD6"/>
    <w:rsid w:val="00E2347D"/>
    <w:rsid w:val="00E23E31"/>
    <w:rsid w:val="00E23EF7"/>
    <w:rsid w:val="00E243E5"/>
    <w:rsid w:val="00E244F4"/>
    <w:rsid w:val="00E24848"/>
    <w:rsid w:val="00E249DA"/>
    <w:rsid w:val="00E251F9"/>
    <w:rsid w:val="00E25C91"/>
    <w:rsid w:val="00E25FA3"/>
    <w:rsid w:val="00E26CE1"/>
    <w:rsid w:val="00E27091"/>
    <w:rsid w:val="00E27212"/>
    <w:rsid w:val="00E272F7"/>
    <w:rsid w:val="00E27394"/>
    <w:rsid w:val="00E274DC"/>
    <w:rsid w:val="00E27819"/>
    <w:rsid w:val="00E2797E"/>
    <w:rsid w:val="00E27A4D"/>
    <w:rsid w:val="00E27FF3"/>
    <w:rsid w:val="00E31561"/>
    <w:rsid w:val="00E31CDF"/>
    <w:rsid w:val="00E334EB"/>
    <w:rsid w:val="00E33612"/>
    <w:rsid w:val="00E33658"/>
    <w:rsid w:val="00E3387F"/>
    <w:rsid w:val="00E34187"/>
    <w:rsid w:val="00E34DC2"/>
    <w:rsid w:val="00E354CA"/>
    <w:rsid w:val="00E35742"/>
    <w:rsid w:val="00E3621A"/>
    <w:rsid w:val="00E40A80"/>
    <w:rsid w:val="00E413FB"/>
    <w:rsid w:val="00E41E4B"/>
    <w:rsid w:val="00E4255C"/>
    <w:rsid w:val="00E438B4"/>
    <w:rsid w:val="00E43F6A"/>
    <w:rsid w:val="00E44007"/>
    <w:rsid w:val="00E44412"/>
    <w:rsid w:val="00E4594A"/>
    <w:rsid w:val="00E45CE8"/>
    <w:rsid w:val="00E46097"/>
    <w:rsid w:val="00E4648E"/>
    <w:rsid w:val="00E46964"/>
    <w:rsid w:val="00E46A63"/>
    <w:rsid w:val="00E47AFB"/>
    <w:rsid w:val="00E47F9A"/>
    <w:rsid w:val="00E51742"/>
    <w:rsid w:val="00E51E9C"/>
    <w:rsid w:val="00E525A0"/>
    <w:rsid w:val="00E52740"/>
    <w:rsid w:val="00E530F3"/>
    <w:rsid w:val="00E55DBF"/>
    <w:rsid w:val="00E56D64"/>
    <w:rsid w:val="00E575F8"/>
    <w:rsid w:val="00E57DAB"/>
    <w:rsid w:val="00E602C6"/>
    <w:rsid w:val="00E60FCF"/>
    <w:rsid w:val="00E613B2"/>
    <w:rsid w:val="00E61426"/>
    <w:rsid w:val="00E61516"/>
    <w:rsid w:val="00E62353"/>
    <w:rsid w:val="00E62A49"/>
    <w:rsid w:val="00E62D07"/>
    <w:rsid w:val="00E63AD5"/>
    <w:rsid w:val="00E64468"/>
    <w:rsid w:val="00E65F3B"/>
    <w:rsid w:val="00E663EE"/>
    <w:rsid w:val="00E66529"/>
    <w:rsid w:val="00E66754"/>
    <w:rsid w:val="00E66F22"/>
    <w:rsid w:val="00E67162"/>
    <w:rsid w:val="00E67717"/>
    <w:rsid w:val="00E67735"/>
    <w:rsid w:val="00E67861"/>
    <w:rsid w:val="00E67CE4"/>
    <w:rsid w:val="00E7024D"/>
    <w:rsid w:val="00E70812"/>
    <w:rsid w:val="00E70B89"/>
    <w:rsid w:val="00E7139F"/>
    <w:rsid w:val="00E71E01"/>
    <w:rsid w:val="00E7228A"/>
    <w:rsid w:val="00E73B94"/>
    <w:rsid w:val="00E74B30"/>
    <w:rsid w:val="00E74BC9"/>
    <w:rsid w:val="00E751A7"/>
    <w:rsid w:val="00E7528C"/>
    <w:rsid w:val="00E75F65"/>
    <w:rsid w:val="00E771EA"/>
    <w:rsid w:val="00E77B79"/>
    <w:rsid w:val="00E77CDD"/>
    <w:rsid w:val="00E8081F"/>
    <w:rsid w:val="00E80D6A"/>
    <w:rsid w:val="00E8100D"/>
    <w:rsid w:val="00E81222"/>
    <w:rsid w:val="00E817FB"/>
    <w:rsid w:val="00E837EC"/>
    <w:rsid w:val="00E83EE4"/>
    <w:rsid w:val="00E840CF"/>
    <w:rsid w:val="00E84233"/>
    <w:rsid w:val="00E84A73"/>
    <w:rsid w:val="00E84AAD"/>
    <w:rsid w:val="00E84BC9"/>
    <w:rsid w:val="00E84E6F"/>
    <w:rsid w:val="00E8558C"/>
    <w:rsid w:val="00E8624F"/>
    <w:rsid w:val="00E86388"/>
    <w:rsid w:val="00E865C0"/>
    <w:rsid w:val="00E865D2"/>
    <w:rsid w:val="00E86652"/>
    <w:rsid w:val="00E86EE1"/>
    <w:rsid w:val="00E86F5A"/>
    <w:rsid w:val="00E87D08"/>
    <w:rsid w:val="00E91651"/>
    <w:rsid w:val="00E920A6"/>
    <w:rsid w:val="00E928D0"/>
    <w:rsid w:val="00E92D05"/>
    <w:rsid w:val="00E92D88"/>
    <w:rsid w:val="00E92F48"/>
    <w:rsid w:val="00E93E61"/>
    <w:rsid w:val="00E93F49"/>
    <w:rsid w:val="00E940E9"/>
    <w:rsid w:val="00E94113"/>
    <w:rsid w:val="00E95443"/>
    <w:rsid w:val="00E95B98"/>
    <w:rsid w:val="00E95F23"/>
    <w:rsid w:val="00E95F7B"/>
    <w:rsid w:val="00E960F9"/>
    <w:rsid w:val="00E96716"/>
    <w:rsid w:val="00E97BA9"/>
    <w:rsid w:val="00EA01AE"/>
    <w:rsid w:val="00EA0387"/>
    <w:rsid w:val="00EA0992"/>
    <w:rsid w:val="00EA0F56"/>
    <w:rsid w:val="00EA1B90"/>
    <w:rsid w:val="00EA1DF4"/>
    <w:rsid w:val="00EA2689"/>
    <w:rsid w:val="00EA33F1"/>
    <w:rsid w:val="00EA3A03"/>
    <w:rsid w:val="00EA3C50"/>
    <w:rsid w:val="00EA4E15"/>
    <w:rsid w:val="00EA6325"/>
    <w:rsid w:val="00EA6724"/>
    <w:rsid w:val="00EA6AD6"/>
    <w:rsid w:val="00EA7749"/>
    <w:rsid w:val="00EA7FE7"/>
    <w:rsid w:val="00EB0DBE"/>
    <w:rsid w:val="00EB1EBC"/>
    <w:rsid w:val="00EB24B1"/>
    <w:rsid w:val="00EB2677"/>
    <w:rsid w:val="00EB2BDC"/>
    <w:rsid w:val="00EB2C71"/>
    <w:rsid w:val="00EB32B8"/>
    <w:rsid w:val="00EB36F0"/>
    <w:rsid w:val="00EB3A2E"/>
    <w:rsid w:val="00EB49D1"/>
    <w:rsid w:val="00EB51BA"/>
    <w:rsid w:val="00EB54E5"/>
    <w:rsid w:val="00EB55E7"/>
    <w:rsid w:val="00EB5956"/>
    <w:rsid w:val="00EB5F29"/>
    <w:rsid w:val="00EB639B"/>
    <w:rsid w:val="00EB63A6"/>
    <w:rsid w:val="00EB70AB"/>
    <w:rsid w:val="00EB7273"/>
    <w:rsid w:val="00EB727F"/>
    <w:rsid w:val="00EB7740"/>
    <w:rsid w:val="00EC00B2"/>
    <w:rsid w:val="00EC034F"/>
    <w:rsid w:val="00EC19AD"/>
    <w:rsid w:val="00EC19CA"/>
    <w:rsid w:val="00EC2769"/>
    <w:rsid w:val="00EC3321"/>
    <w:rsid w:val="00EC3608"/>
    <w:rsid w:val="00EC3680"/>
    <w:rsid w:val="00EC3A19"/>
    <w:rsid w:val="00EC3DD2"/>
    <w:rsid w:val="00EC3DE0"/>
    <w:rsid w:val="00EC4C0C"/>
    <w:rsid w:val="00EC4C11"/>
    <w:rsid w:val="00EC4CEA"/>
    <w:rsid w:val="00EC4D06"/>
    <w:rsid w:val="00EC571F"/>
    <w:rsid w:val="00EC577F"/>
    <w:rsid w:val="00EC5AB8"/>
    <w:rsid w:val="00EC5EE8"/>
    <w:rsid w:val="00EC5FD9"/>
    <w:rsid w:val="00EC612B"/>
    <w:rsid w:val="00EC7058"/>
    <w:rsid w:val="00ED03A2"/>
    <w:rsid w:val="00ED10C9"/>
    <w:rsid w:val="00ED2879"/>
    <w:rsid w:val="00ED2BBF"/>
    <w:rsid w:val="00ED2E20"/>
    <w:rsid w:val="00ED32E5"/>
    <w:rsid w:val="00ED3685"/>
    <w:rsid w:val="00ED3A14"/>
    <w:rsid w:val="00ED3C2E"/>
    <w:rsid w:val="00ED3C3F"/>
    <w:rsid w:val="00ED4372"/>
    <w:rsid w:val="00ED498D"/>
    <w:rsid w:val="00ED4DF0"/>
    <w:rsid w:val="00ED5BA4"/>
    <w:rsid w:val="00ED6D37"/>
    <w:rsid w:val="00ED76E1"/>
    <w:rsid w:val="00ED7B29"/>
    <w:rsid w:val="00EE0B04"/>
    <w:rsid w:val="00EE21F5"/>
    <w:rsid w:val="00EE237D"/>
    <w:rsid w:val="00EE2D74"/>
    <w:rsid w:val="00EE49ED"/>
    <w:rsid w:val="00EE4A40"/>
    <w:rsid w:val="00EE5107"/>
    <w:rsid w:val="00EE51C3"/>
    <w:rsid w:val="00EE5A14"/>
    <w:rsid w:val="00EE5BBA"/>
    <w:rsid w:val="00EE74B4"/>
    <w:rsid w:val="00EE7524"/>
    <w:rsid w:val="00EF01DF"/>
    <w:rsid w:val="00EF273F"/>
    <w:rsid w:val="00EF2B10"/>
    <w:rsid w:val="00EF401B"/>
    <w:rsid w:val="00EF4217"/>
    <w:rsid w:val="00EF4A96"/>
    <w:rsid w:val="00EF4B5C"/>
    <w:rsid w:val="00EF5939"/>
    <w:rsid w:val="00EF631D"/>
    <w:rsid w:val="00EF6676"/>
    <w:rsid w:val="00EF6A5D"/>
    <w:rsid w:val="00EF6C3A"/>
    <w:rsid w:val="00EF7EC9"/>
    <w:rsid w:val="00F00F46"/>
    <w:rsid w:val="00F012D2"/>
    <w:rsid w:val="00F013B4"/>
    <w:rsid w:val="00F01839"/>
    <w:rsid w:val="00F02A03"/>
    <w:rsid w:val="00F02E44"/>
    <w:rsid w:val="00F04303"/>
    <w:rsid w:val="00F05192"/>
    <w:rsid w:val="00F055E6"/>
    <w:rsid w:val="00F058EC"/>
    <w:rsid w:val="00F0594C"/>
    <w:rsid w:val="00F06517"/>
    <w:rsid w:val="00F065FC"/>
    <w:rsid w:val="00F06639"/>
    <w:rsid w:val="00F06CF5"/>
    <w:rsid w:val="00F07036"/>
    <w:rsid w:val="00F07406"/>
    <w:rsid w:val="00F07B55"/>
    <w:rsid w:val="00F07EB6"/>
    <w:rsid w:val="00F10469"/>
    <w:rsid w:val="00F107F3"/>
    <w:rsid w:val="00F109CE"/>
    <w:rsid w:val="00F1357D"/>
    <w:rsid w:val="00F145E6"/>
    <w:rsid w:val="00F149B1"/>
    <w:rsid w:val="00F1548C"/>
    <w:rsid w:val="00F159AE"/>
    <w:rsid w:val="00F168AA"/>
    <w:rsid w:val="00F16ECF"/>
    <w:rsid w:val="00F173D2"/>
    <w:rsid w:val="00F20951"/>
    <w:rsid w:val="00F2098C"/>
    <w:rsid w:val="00F213A0"/>
    <w:rsid w:val="00F2142C"/>
    <w:rsid w:val="00F21E54"/>
    <w:rsid w:val="00F22716"/>
    <w:rsid w:val="00F23015"/>
    <w:rsid w:val="00F2370D"/>
    <w:rsid w:val="00F2396B"/>
    <w:rsid w:val="00F250D1"/>
    <w:rsid w:val="00F2514E"/>
    <w:rsid w:val="00F2529B"/>
    <w:rsid w:val="00F25886"/>
    <w:rsid w:val="00F25B97"/>
    <w:rsid w:val="00F266C3"/>
    <w:rsid w:val="00F2696F"/>
    <w:rsid w:val="00F26B3A"/>
    <w:rsid w:val="00F31253"/>
    <w:rsid w:val="00F3147C"/>
    <w:rsid w:val="00F31869"/>
    <w:rsid w:val="00F3239D"/>
    <w:rsid w:val="00F32E3E"/>
    <w:rsid w:val="00F33AFE"/>
    <w:rsid w:val="00F33C26"/>
    <w:rsid w:val="00F33CE2"/>
    <w:rsid w:val="00F33CF7"/>
    <w:rsid w:val="00F33CFE"/>
    <w:rsid w:val="00F33FD9"/>
    <w:rsid w:val="00F345D5"/>
    <w:rsid w:val="00F34DDE"/>
    <w:rsid w:val="00F35664"/>
    <w:rsid w:val="00F362F4"/>
    <w:rsid w:val="00F364DB"/>
    <w:rsid w:val="00F36EBA"/>
    <w:rsid w:val="00F37085"/>
    <w:rsid w:val="00F37198"/>
    <w:rsid w:val="00F372D6"/>
    <w:rsid w:val="00F40277"/>
    <w:rsid w:val="00F40360"/>
    <w:rsid w:val="00F40858"/>
    <w:rsid w:val="00F40DAB"/>
    <w:rsid w:val="00F40ED7"/>
    <w:rsid w:val="00F4119C"/>
    <w:rsid w:val="00F4161F"/>
    <w:rsid w:val="00F41919"/>
    <w:rsid w:val="00F41CF1"/>
    <w:rsid w:val="00F421B8"/>
    <w:rsid w:val="00F436E2"/>
    <w:rsid w:val="00F43CF1"/>
    <w:rsid w:val="00F4493B"/>
    <w:rsid w:val="00F44991"/>
    <w:rsid w:val="00F449D1"/>
    <w:rsid w:val="00F46539"/>
    <w:rsid w:val="00F469BB"/>
    <w:rsid w:val="00F46DD3"/>
    <w:rsid w:val="00F46EA6"/>
    <w:rsid w:val="00F47BF7"/>
    <w:rsid w:val="00F47EAD"/>
    <w:rsid w:val="00F50282"/>
    <w:rsid w:val="00F5052F"/>
    <w:rsid w:val="00F50705"/>
    <w:rsid w:val="00F50AE7"/>
    <w:rsid w:val="00F522A5"/>
    <w:rsid w:val="00F52DF3"/>
    <w:rsid w:val="00F52DFD"/>
    <w:rsid w:val="00F5411E"/>
    <w:rsid w:val="00F542A2"/>
    <w:rsid w:val="00F547F6"/>
    <w:rsid w:val="00F54809"/>
    <w:rsid w:val="00F54A82"/>
    <w:rsid w:val="00F550F7"/>
    <w:rsid w:val="00F55FA0"/>
    <w:rsid w:val="00F56624"/>
    <w:rsid w:val="00F570FB"/>
    <w:rsid w:val="00F57889"/>
    <w:rsid w:val="00F57EA8"/>
    <w:rsid w:val="00F57F2A"/>
    <w:rsid w:val="00F602FF"/>
    <w:rsid w:val="00F60543"/>
    <w:rsid w:val="00F60D57"/>
    <w:rsid w:val="00F620C1"/>
    <w:rsid w:val="00F62DAC"/>
    <w:rsid w:val="00F632D6"/>
    <w:rsid w:val="00F657B1"/>
    <w:rsid w:val="00F65B6C"/>
    <w:rsid w:val="00F660E6"/>
    <w:rsid w:val="00F674E3"/>
    <w:rsid w:val="00F675B5"/>
    <w:rsid w:val="00F704CA"/>
    <w:rsid w:val="00F724C6"/>
    <w:rsid w:val="00F73492"/>
    <w:rsid w:val="00F73A48"/>
    <w:rsid w:val="00F73FD0"/>
    <w:rsid w:val="00F74BF1"/>
    <w:rsid w:val="00F75445"/>
    <w:rsid w:val="00F75C8E"/>
    <w:rsid w:val="00F75D7E"/>
    <w:rsid w:val="00F768CB"/>
    <w:rsid w:val="00F81519"/>
    <w:rsid w:val="00F81A31"/>
    <w:rsid w:val="00F81E86"/>
    <w:rsid w:val="00F820B9"/>
    <w:rsid w:val="00F82211"/>
    <w:rsid w:val="00F82214"/>
    <w:rsid w:val="00F82732"/>
    <w:rsid w:val="00F82DC3"/>
    <w:rsid w:val="00F82E43"/>
    <w:rsid w:val="00F830C5"/>
    <w:rsid w:val="00F836DA"/>
    <w:rsid w:val="00F836E1"/>
    <w:rsid w:val="00F83902"/>
    <w:rsid w:val="00F83D5E"/>
    <w:rsid w:val="00F83F01"/>
    <w:rsid w:val="00F84136"/>
    <w:rsid w:val="00F85059"/>
    <w:rsid w:val="00F851BC"/>
    <w:rsid w:val="00F85A61"/>
    <w:rsid w:val="00F868B6"/>
    <w:rsid w:val="00F86990"/>
    <w:rsid w:val="00F86991"/>
    <w:rsid w:val="00F86DCA"/>
    <w:rsid w:val="00F87375"/>
    <w:rsid w:val="00F90E22"/>
    <w:rsid w:val="00F90E6B"/>
    <w:rsid w:val="00F91CA8"/>
    <w:rsid w:val="00F920A7"/>
    <w:rsid w:val="00F93260"/>
    <w:rsid w:val="00F93AF6"/>
    <w:rsid w:val="00F93F14"/>
    <w:rsid w:val="00F950FE"/>
    <w:rsid w:val="00F969F8"/>
    <w:rsid w:val="00F97760"/>
    <w:rsid w:val="00FA024C"/>
    <w:rsid w:val="00FA05C8"/>
    <w:rsid w:val="00FA1938"/>
    <w:rsid w:val="00FA1BB5"/>
    <w:rsid w:val="00FA1FEC"/>
    <w:rsid w:val="00FA2479"/>
    <w:rsid w:val="00FA25B8"/>
    <w:rsid w:val="00FA26F3"/>
    <w:rsid w:val="00FA29CF"/>
    <w:rsid w:val="00FA2BD0"/>
    <w:rsid w:val="00FA301A"/>
    <w:rsid w:val="00FA3612"/>
    <w:rsid w:val="00FA3646"/>
    <w:rsid w:val="00FA3764"/>
    <w:rsid w:val="00FA3F41"/>
    <w:rsid w:val="00FA40C2"/>
    <w:rsid w:val="00FA4AA9"/>
    <w:rsid w:val="00FA4D3C"/>
    <w:rsid w:val="00FA4F12"/>
    <w:rsid w:val="00FA5AE7"/>
    <w:rsid w:val="00FA6547"/>
    <w:rsid w:val="00FA6568"/>
    <w:rsid w:val="00FA6E49"/>
    <w:rsid w:val="00FA7531"/>
    <w:rsid w:val="00FA7543"/>
    <w:rsid w:val="00FA7A4E"/>
    <w:rsid w:val="00FB0050"/>
    <w:rsid w:val="00FB036C"/>
    <w:rsid w:val="00FB0B0B"/>
    <w:rsid w:val="00FB1346"/>
    <w:rsid w:val="00FB14EC"/>
    <w:rsid w:val="00FB1797"/>
    <w:rsid w:val="00FB2258"/>
    <w:rsid w:val="00FB24AD"/>
    <w:rsid w:val="00FB2942"/>
    <w:rsid w:val="00FB3409"/>
    <w:rsid w:val="00FB3445"/>
    <w:rsid w:val="00FB3CE1"/>
    <w:rsid w:val="00FB48E4"/>
    <w:rsid w:val="00FB57EB"/>
    <w:rsid w:val="00FB5E0D"/>
    <w:rsid w:val="00FB5F50"/>
    <w:rsid w:val="00FB6ADE"/>
    <w:rsid w:val="00FB731E"/>
    <w:rsid w:val="00FB76B7"/>
    <w:rsid w:val="00FC072E"/>
    <w:rsid w:val="00FC0EE7"/>
    <w:rsid w:val="00FC17E5"/>
    <w:rsid w:val="00FC2C13"/>
    <w:rsid w:val="00FC34CF"/>
    <w:rsid w:val="00FC3717"/>
    <w:rsid w:val="00FC3C5B"/>
    <w:rsid w:val="00FC4148"/>
    <w:rsid w:val="00FC4AD7"/>
    <w:rsid w:val="00FC4EE5"/>
    <w:rsid w:val="00FC5A93"/>
    <w:rsid w:val="00FC5E8C"/>
    <w:rsid w:val="00FC634A"/>
    <w:rsid w:val="00FC6F65"/>
    <w:rsid w:val="00FC711C"/>
    <w:rsid w:val="00FC7310"/>
    <w:rsid w:val="00FC7AD3"/>
    <w:rsid w:val="00FC7BF8"/>
    <w:rsid w:val="00FD06A7"/>
    <w:rsid w:val="00FD0D00"/>
    <w:rsid w:val="00FD10FC"/>
    <w:rsid w:val="00FD1EFA"/>
    <w:rsid w:val="00FD2666"/>
    <w:rsid w:val="00FD2A0A"/>
    <w:rsid w:val="00FD2EEA"/>
    <w:rsid w:val="00FD30EC"/>
    <w:rsid w:val="00FD325F"/>
    <w:rsid w:val="00FD3F36"/>
    <w:rsid w:val="00FD44F5"/>
    <w:rsid w:val="00FD45C3"/>
    <w:rsid w:val="00FD46BA"/>
    <w:rsid w:val="00FD59D0"/>
    <w:rsid w:val="00FD6054"/>
    <w:rsid w:val="00FD60B2"/>
    <w:rsid w:val="00FD63C4"/>
    <w:rsid w:val="00FD6873"/>
    <w:rsid w:val="00FD7C01"/>
    <w:rsid w:val="00FE02D8"/>
    <w:rsid w:val="00FE032A"/>
    <w:rsid w:val="00FE21C2"/>
    <w:rsid w:val="00FE3DA7"/>
    <w:rsid w:val="00FE4142"/>
    <w:rsid w:val="00FE4693"/>
    <w:rsid w:val="00FE5CB7"/>
    <w:rsid w:val="00FE5FB3"/>
    <w:rsid w:val="00FE6105"/>
    <w:rsid w:val="00FE6201"/>
    <w:rsid w:val="00FE69E7"/>
    <w:rsid w:val="00FE6AAD"/>
    <w:rsid w:val="00FE6BE9"/>
    <w:rsid w:val="00FE7BCC"/>
    <w:rsid w:val="00FF15E9"/>
    <w:rsid w:val="00FF1A39"/>
    <w:rsid w:val="00FF1B70"/>
    <w:rsid w:val="00FF1E6E"/>
    <w:rsid w:val="00FF2903"/>
    <w:rsid w:val="00FF355F"/>
    <w:rsid w:val="00FF4285"/>
    <w:rsid w:val="00FF4322"/>
    <w:rsid w:val="00FF5757"/>
    <w:rsid w:val="00FF5769"/>
    <w:rsid w:val="00FF5772"/>
    <w:rsid w:val="00FF6000"/>
    <w:rsid w:val="00FF617E"/>
    <w:rsid w:val="00FF6A37"/>
    <w:rsid w:val="00FF7545"/>
    <w:rsid w:val="00FF756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D8AD8"/>
  <w15:docId w15:val="{313D36A8-B176-4748-A38D-527C47D1E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8D3"/>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792F56"/>
    <w:pPr>
      <w:keepNext/>
      <w:keepLines/>
      <w:spacing w:before="240"/>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792F56"/>
    <w:pPr>
      <w:keepNext/>
      <w:keepLines/>
      <w:spacing w:before="40"/>
      <w:outlineLvl w:val="1"/>
    </w:pPr>
    <w:rPr>
      <w:rFonts w:asciiTheme="majorHAnsi" w:eastAsiaTheme="majorEastAsia" w:hAnsiTheme="majorHAnsi" w:cstheme="majorBidi"/>
      <w:color w:val="365F91" w:themeColor="accent1" w:themeShade="BF"/>
      <w:sz w:val="26"/>
      <w:szCs w:val="26"/>
      <w:lang w:eastAsia="en-US"/>
    </w:rPr>
  </w:style>
  <w:style w:type="paragraph" w:styleId="Heading3">
    <w:name w:val="heading 3"/>
    <w:basedOn w:val="Normal"/>
    <w:next w:val="Normal"/>
    <w:link w:val="Heading3Char"/>
    <w:uiPriority w:val="9"/>
    <w:unhideWhenUsed/>
    <w:qFormat/>
    <w:rsid w:val="001F783C"/>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F56"/>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792F5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1F783C"/>
    <w:rPr>
      <w:rFonts w:asciiTheme="majorHAnsi" w:eastAsiaTheme="majorEastAsia" w:hAnsiTheme="majorHAnsi" w:cstheme="majorBidi"/>
      <w:color w:val="243F60" w:themeColor="accent1" w:themeShade="7F"/>
      <w:sz w:val="24"/>
      <w:szCs w:val="24"/>
      <w:lang w:eastAsia="en-GB"/>
    </w:rPr>
  </w:style>
  <w:style w:type="paragraph" w:styleId="ListParagraph">
    <w:name w:val="List Paragraph"/>
    <w:basedOn w:val="Normal"/>
    <w:uiPriority w:val="34"/>
    <w:qFormat/>
    <w:rsid w:val="00FB3445"/>
    <w:pPr>
      <w:ind w:left="720"/>
      <w:contextualSpacing/>
    </w:pPr>
    <w:rPr>
      <w:lang w:eastAsia="en-US"/>
    </w:rPr>
  </w:style>
  <w:style w:type="paragraph" w:styleId="NoSpacing">
    <w:name w:val="No Spacing"/>
    <w:uiPriority w:val="1"/>
    <w:qFormat/>
    <w:rsid w:val="00FB3445"/>
    <w:pPr>
      <w:spacing w:after="0" w:line="240" w:lineRule="auto"/>
    </w:pPr>
  </w:style>
  <w:style w:type="paragraph" w:styleId="BalloonText">
    <w:name w:val="Balloon Text"/>
    <w:basedOn w:val="Normal"/>
    <w:link w:val="BalloonTextChar"/>
    <w:uiPriority w:val="99"/>
    <w:semiHidden/>
    <w:unhideWhenUsed/>
    <w:rsid w:val="006421A2"/>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rsid w:val="006421A2"/>
    <w:rPr>
      <w:rFonts w:ascii="Tahoma" w:hAnsi="Tahoma" w:cs="Tahoma"/>
      <w:sz w:val="16"/>
      <w:szCs w:val="16"/>
    </w:rPr>
  </w:style>
  <w:style w:type="character" w:styleId="CommentReference">
    <w:name w:val="annotation reference"/>
    <w:basedOn w:val="DefaultParagraphFont"/>
    <w:uiPriority w:val="99"/>
    <w:semiHidden/>
    <w:unhideWhenUsed/>
    <w:rsid w:val="00320789"/>
    <w:rPr>
      <w:sz w:val="16"/>
      <w:szCs w:val="16"/>
    </w:rPr>
  </w:style>
  <w:style w:type="paragraph" w:styleId="CommentText">
    <w:name w:val="annotation text"/>
    <w:basedOn w:val="Normal"/>
    <w:link w:val="CommentTextChar"/>
    <w:uiPriority w:val="99"/>
    <w:semiHidden/>
    <w:unhideWhenUsed/>
    <w:rsid w:val="00320789"/>
    <w:rPr>
      <w:sz w:val="20"/>
      <w:szCs w:val="20"/>
      <w:lang w:eastAsia="en-US"/>
    </w:rPr>
  </w:style>
  <w:style w:type="character" w:customStyle="1" w:styleId="CommentTextChar">
    <w:name w:val="Comment Text Char"/>
    <w:basedOn w:val="DefaultParagraphFont"/>
    <w:link w:val="CommentText"/>
    <w:uiPriority w:val="99"/>
    <w:semiHidden/>
    <w:rsid w:val="00320789"/>
    <w:rPr>
      <w:sz w:val="20"/>
      <w:szCs w:val="20"/>
    </w:rPr>
  </w:style>
  <w:style w:type="paragraph" w:styleId="CommentSubject">
    <w:name w:val="annotation subject"/>
    <w:basedOn w:val="CommentText"/>
    <w:next w:val="CommentText"/>
    <w:link w:val="CommentSubjectChar"/>
    <w:uiPriority w:val="99"/>
    <w:semiHidden/>
    <w:unhideWhenUsed/>
    <w:rsid w:val="00320789"/>
    <w:rPr>
      <w:b/>
      <w:bCs/>
    </w:rPr>
  </w:style>
  <w:style w:type="character" w:customStyle="1" w:styleId="CommentSubjectChar">
    <w:name w:val="Comment Subject Char"/>
    <w:basedOn w:val="CommentTextChar"/>
    <w:link w:val="CommentSubject"/>
    <w:uiPriority w:val="99"/>
    <w:semiHidden/>
    <w:rsid w:val="00320789"/>
    <w:rPr>
      <w:b/>
      <w:bCs/>
      <w:sz w:val="20"/>
      <w:szCs w:val="20"/>
    </w:rPr>
  </w:style>
  <w:style w:type="character" w:styleId="Hyperlink">
    <w:name w:val="Hyperlink"/>
    <w:basedOn w:val="DefaultParagraphFont"/>
    <w:uiPriority w:val="99"/>
    <w:unhideWhenUsed/>
    <w:rsid w:val="004A0672"/>
    <w:rPr>
      <w:color w:val="0000FF" w:themeColor="hyperlink"/>
      <w:u w:val="single"/>
    </w:rPr>
  </w:style>
  <w:style w:type="paragraph" w:styleId="Header">
    <w:name w:val="header"/>
    <w:basedOn w:val="Normal"/>
    <w:link w:val="HeaderChar"/>
    <w:uiPriority w:val="99"/>
    <w:unhideWhenUsed/>
    <w:rsid w:val="009B3F49"/>
    <w:pPr>
      <w:tabs>
        <w:tab w:val="center" w:pos="4513"/>
        <w:tab w:val="right" w:pos="9026"/>
      </w:tabs>
    </w:pPr>
    <w:rPr>
      <w:lang w:eastAsia="en-US"/>
    </w:rPr>
  </w:style>
  <w:style w:type="character" w:customStyle="1" w:styleId="HeaderChar">
    <w:name w:val="Header Char"/>
    <w:basedOn w:val="DefaultParagraphFont"/>
    <w:link w:val="Header"/>
    <w:uiPriority w:val="99"/>
    <w:rsid w:val="009B3F49"/>
  </w:style>
  <w:style w:type="paragraph" w:styleId="Footer">
    <w:name w:val="footer"/>
    <w:basedOn w:val="Normal"/>
    <w:link w:val="FooterChar"/>
    <w:uiPriority w:val="99"/>
    <w:unhideWhenUsed/>
    <w:rsid w:val="009B3F49"/>
    <w:pPr>
      <w:tabs>
        <w:tab w:val="center" w:pos="4513"/>
        <w:tab w:val="right" w:pos="9026"/>
      </w:tabs>
    </w:pPr>
    <w:rPr>
      <w:lang w:eastAsia="en-US"/>
    </w:rPr>
  </w:style>
  <w:style w:type="character" w:customStyle="1" w:styleId="FooterChar">
    <w:name w:val="Footer Char"/>
    <w:basedOn w:val="DefaultParagraphFont"/>
    <w:link w:val="Footer"/>
    <w:uiPriority w:val="99"/>
    <w:rsid w:val="009B3F49"/>
  </w:style>
  <w:style w:type="paragraph" w:styleId="Revision">
    <w:name w:val="Revision"/>
    <w:hidden/>
    <w:uiPriority w:val="99"/>
    <w:semiHidden/>
    <w:rsid w:val="00766ADE"/>
    <w:pPr>
      <w:spacing w:after="0" w:line="240" w:lineRule="auto"/>
    </w:pPr>
  </w:style>
  <w:style w:type="paragraph" w:styleId="NormalWeb">
    <w:name w:val="Normal (Web)"/>
    <w:basedOn w:val="Normal"/>
    <w:uiPriority w:val="99"/>
    <w:unhideWhenUsed/>
    <w:rsid w:val="00513E14"/>
    <w:pPr>
      <w:spacing w:before="100" w:beforeAutospacing="1" w:after="100" w:afterAutospacing="1"/>
    </w:pPr>
    <w:rPr>
      <w:lang w:eastAsia="en-US"/>
    </w:rPr>
  </w:style>
  <w:style w:type="table" w:styleId="TableGrid">
    <w:name w:val="Table Grid"/>
    <w:basedOn w:val="TableNormal"/>
    <w:uiPriority w:val="39"/>
    <w:rsid w:val="00A70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252C6"/>
    <w:rPr>
      <w:color w:val="605E5C"/>
      <w:shd w:val="clear" w:color="auto" w:fill="E1DFDD"/>
    </w:rPr>
  </w:style>
  <w:style w:type="character" w:styleId="FollowedHyperlink">
    <w:name w:val="FollowedHyperlink"/>
    <w:basedOn w:val="DefaultParagraphFont"/>
    <w:uiPriority w:val="99"/>
    <w:semiHidden/>
    <w:unhideWhenUsed/>
    <w:rsid w:val="000400F4"/>
    <w:rPr>
      <w:color w:val="800080" w:themeColor="followedHyperlink"/>
      <w:u w:val="single"/>
    </w:rPr>
  </w:style>
  <w:style w:type="paragraph" w:styleId="Title">
    <w:name w:val="Title"/>
    <w:basedOn w:val="Normal"/>
    <w:next w:val="Normal"/>
    <w:link w:val="TitleChar"/>
    <w:uiPriority w:val="10"/>
    <w:qFormat/>
    <w:rsid w:val="00792F56"/>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792F56"/>
    <w:rPr>
      <w:rFonts w:asciiTheme="majorHAnsi" w:eastAsiaTheme="majorEastAsia" w:hAnsiTheme="majorHAnsi" w:cstheme="majorBidi"/>
      <w:spacing w:val="-10"/>
      <w:kern w:val="28"/>
      <w:sz w:val="56"/>
      <w:szCs w:val="56"/>
    </w:rPr>
  </w:style>
  <w:style w:type="character" w:customStyle="1" w:styleId="apple-converted-space">
    <w:name w:val="apple-converted-space"/>
    <w:basedOn w:val="DefaultParagraphFont"/>
    <w:rsid w:val="00792BFE"/>
  </w:style>
  <w:style w:type="paragraph" w:styleId="FootnoteText">
    <w:name w:val="footnote text"/>
    <w:basedOn w:val="Normal"/>
    <w:link w:val="FootnoteTextChar"/>
    <w:uiPriority w:val="99"/>
    <w:semiHidden/>
    <w:unhideWhenUsed/>
    <w:rsid w:val="00172F05"/>
    <w:rPr>
      <w:sz w:val="20"/>
      <w:szCs w:val="20"/>
    </w:rPr>
  </w:style>
  <w:style w:type="character" w:customStyle="1" w:styleId="FootnoteTextChar">
    <w:name w:val="Footnote Text Char"/>
    <w:basedOn w:val="DefaultParagraphFont"/>
    <w:link w:val="FootnoteText"/>
    <w:uiPriority w:val="99"/>
    <w:semiHidden/>
    <w:rsid w:val="00172F05"/>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172F05"/>
    <w:rPr>
      <w:vertAlign w:val="superscript"/>
    </w:rPr>
  </w:style>
  <w:style w:type="paragraph" w:customStyle="1" w:styleId="paragraph">
    <w:name w:val="paragraph"/>
    <w:basedOn w:val="Normal"/>
    <w:rsid w:val="005D4FA6"/>
    <w:pPr>
      <w:spacing w:before="100" w:beforeAutospacing="1" w:after="100" w:afterAutospacing="1"/>
    </w:pPr>
  </w:style>
  <w:style w:type="character" w:customStyle="1" w:styleId="normaltextrun">
    <w:name w:val="normaltextrun"/>
    <w:basedOn w:val="DefaultParagraphFont"/>
    <w:rsid w:val="005D4FA6"/>
  </w:style>
  <w:style w:type="character" w:customStyle="1" w:styleId="eop">
    <w:name w:val="eop"/>
    <w:basedOn w:val="DefaultParagraphFont"/>
    <w:rsid w:val="005D4FA6"/>
  </w:style>
  <w:style w:type="character" w:styleId="PlaceholderText">
    <w:name w:val="Placeholder Text"/>
    <w:basedOn w:val="DefaultParagraphFont"/>
    <w:uiPriority w:val="99"/>
    <w:semiHidden/>
    <w:rsid w:val="00531341"/>
    <w:rPr>
      <w:color w:val="808080"/>
    </w:rPr>
  </w:style>
  <w:style w:type="character" w:customStyle="1" w:styleId="texhtml">
    <w:name w:val="texhtml"/>
    <w:basedOn w:val="DefaultParagraphFont"/>
    <w:rsid w:val="00507EC2"/>
  </w:style>
  <w:style w:type="paragraph" w:customStyle="1" w:styleId="msonormal0">
    <w:name w:val="msonormal"/>
    <w:basedOn w:val="Normal"/>
    <w:rsid w:val="00164D3B"/>
    <w:pPr>
      <w:spacing w:before="100" w:beforeAutospacing="1" w:after="100" w:afterAutospacing="1"/>
    </w:pPr>
  </w:style>
  <w:style w:type="paragraph" w:customStyle="1" w:styleId="xl65">
    <w:name w:val="xl65"/>
    <w:basedOn w:val="Normal"/>
    <w:rsid w:val="00164D3B"/>
    <w:pPr>
      <w:spacing w:before="100" w:beforeAutospacing="1" w:after="100" w:afterAutospacing="1"/>
    </w:pPr>
    <w:rPr>
      <w:b/>
      <w:bCs/>
    </w:rPr>
  </w:style>
  <w:style w:type="paragraph" w:customStyle="1" w:styleId="xl66">
    <w:name w:val="xl66"/>
    <w:basedOn w:val="Normal"/>
    <w:rsid w:val="00164D3B"/>
    <w:pPr>
      <w:spacing w:before="100" w:beforeAutospacing="1" w:after="100" w:afterAutospacing="1"/>
      <w:jc w:val="center"/>
    </w:pPr>
  </w:style>
  <w:style w:type="character" w:customStyle="1" w:styleId="EndnoteTextChar">
    <w:name w:val="Endnote Text Char"/>
    <w:basedOn w:val="DefaultParagraphFont"/>
    <w:link w:val="EndnoteText"/>
    <w:uiPriority w:val="99"/>
    <w:rsid w:val="008267DA"/>
    <w:rPr>
      <w:rFonts w:eastAsiaTheme="minorEastAsia"/>
      <w:sz w:val="20"/>
      <w:szCs w:val="20"/>
      <w:lang w:eastAsia="zh-CN"/>
    </w:rPr>
  </w:style>
  <w:style w:type="paragraph" w:styleId="EndnoteText">
    <w:name w:val="endnote text"/>
    <w:basedOn w:val="Normal"/>
    <w:link w:val="EndnoteTextChar"/>
    <w:uiPriority w:val="99"/>
    <w:unhideWhenUsed/>
    <w:rsid w:val="008267DA"/>
    <w:rPr>
      <w:rFonts w:asciiTheme="minorHAnsi" w:eastAsiaTheme="minorEastAsia" w:hAnsiTheme="minorHAnsi" w:cstheme="minorBidi"/>
      <w:sz w:val="20"/>
      <w:szCs w:val="20"/>
      <w:lang w:eastAsia="zh-CN"/>
    </w:rPr>
  </w:style>
  <w:style w:type="paragraph" w:customStyle="1" w:styleId="xl67">
    <w:name w:val="xl67"/>
    <w:basedOn w:val="Normal"/>
    <w:rsid w:val="00646128"/>
    <w:pPr>
      <w:pBdr>
        <w:right w:val="single" w:sz="4" w:space="0" w:color="auto"/>
      </w:pBdr>
      <w:spacing w:before="100" w:beforeAutospacing="1" w:after="100" w:afterAutospacing="1"/>
    </w:pPr>
    <w:rPr>
      <w:b/>
      <w:bCs/>
      <w:sz w:val="20"/>
      <w:szCs w:val="20"/>
    </w:rPr>
  </w:style>
  <w:style w:type="paragraph" w:customStyle="1" w:styleId="xl68">
    <w:name w:val="xl68"/>
    <w:basedOn w:val="Normal"/>
    <w:rsid w:val="00646128"/>
    <w:pPr>
      <w:pBdr>
        <w:right w:val="single" w:sz="4" w:space="0" w:color="auto"/>
      </w:pBdr>
      <w:spacing w:before="100" w:beforeAutospacing="1" w:after="100" w:afterAutospacing="1"/>
    </w:pPr>
    <w:rPr>
      <w:sz w:val="20"/>
      <w:szCs w:val="20"/>
    </w:rPr>
  </w:style>
  <w:style w:type="paragraph" w:customStyle="1" w:styleId="xl69">
    <w:name w:val="xl69"/>
    <w:basedOn w:val="Normal"/>
    <w:rsid w:val="00646128"/>
    <w:pPr>
      <w:pBdr>
        <w:left w:val="single" w:sz="4" w:space="0" w:color="auto"/>
      </w:pBdr>
      <w:spacing w:before="100" w:beforeAutospacing="1" w:after="100" w:afterAutospacing="1"/>
      <w:jc w:val="center"/>
    </w:pPr>
    <w:rPr>
      <w:sz w:val="20"/>
      <w:szCs w:val="20"/>
    </w:rPr>
  </w:style>
  <w:style w:type="paragraph" w:customStyle="1" w:styleId="xl70">
    <w:name w:val="xl70"/>
    <w:basedOn w:val="Normal"/>
    <w:rsid w:val="00646128"/>
    <w:pPr>
      <w:pBdr>
        <w:right w:val="single" w:sz="4" w:space="0" w:color="auto"/>
      </w:pBdr>
      <w:spacing w:before="100" w:beforeAutospacing="1" w:after="100" w:afterAutospacing="1"/>
    </w:pPr>
    <w:rPr>
      <w:b/>
      <w:bCs/>
      <w:sz w:val="20"/>
      <w:szCs w:val="20"/>
    </w:rPr>
  </w:style>
  <w:style w:type="paragraph" w:customStyle="1" w:styleId="xl71">
    <w:name w:val="xl71"/>
    <w:basedOn w:val="Normal"/>
    <w:rsid w:val="00646128"/>
    <w:pPr>
      <w:spacing w:before="100" w:beforeAutospacing="1" w:after="100" w:afterAutospacing="1"/>
      <w:jc w:val="center"/>
    </w:pPr>
    <w:rPr>
      <w:sz w:val="20"/>
      <w:szCs w:val="20"/>
    </w:rPr>
  </w:style>
  <w:style w:type="paragraph" w:customStyle="1" w:styleId="xl72">
    <w:name w:val="xl72"/>
    <w:basedOn w:val="Normal"/>
    <w:rsid w:val="00646128"/>
    <w:pPr>
      <w:spacing w:before="100" w:beforeAutospacing="1" w:after="100" w:afterAutospacing="1"/>
    </w:pPr>
    <w:rPr>
      <w:sz w:val="20"/>
      <w:szCs w:val="20"/>
    </w:rPr>
  </w:style>
  <w:style w:type="paragraph" w:customStyle="1" w:styleId="xl73">
    <w:name w:val="xl73"/>
    <w:basedOn w:val="Normal"/>
    <w:rsid w:val="00646128"/>
    <w:pPr>
      <w:pBdr>
        <w:bottom w:val="single" w:sz="4" w:space="0" w:color="auto"/>
      </w:pBdr>
      <w:spacing w:before="100" w:beforeAutospacing="1" w:after="100" w:afterAutospacing="1"/>
      <w:jc w:val="center"/>
    </w:pPr>
    <w:rPr>
      <w:sz w:val="20"/>
      <w:szCs w:val="20"/>
    </w:rPr>
  </w:style>
  <w:style w:type="paragraph" w:customStyle="1" w:styleId="xl74">
    <w:name w:val="xl74"/>
    <w:basedOn w:val="Normal"/>
    <w:rsid w:val="00646128"/>
    <w:pPr>
      <w:pBdr>
        <w:bottom w:val="single" w:sz="4" w:space="0" w:color="auto"/>
        <w:right w:val="single" w:sz="4" w:space="0" w:color="auto"/>
      </w:pBdr>
      <w:spacing w:before="100" w:beforeAutospacing="1" w:after="100" w:afterAutospacing="1"/>
    </w:pPr>
    <w:rPr>
      <w:sz w:val="20"/>
      <w:szCs w:val="20"/>
    </w:rPr>
  </w:style>
  <w:style w:type="paragraph" w:customStyle="1" w:styleId="xl75">
    <w:name w:val="xl75"/>
    <w:basedOn w:val="Normal"/>
    <w:rsid w:val="00646128"/>
    <w:pPr>
      <w:pBdr>
        <w:left w:val="single" w:sz="4" w:space="0" w:color="auto"/>
        <w:bottom w:val="single" w:sz="4" w:space="0" w:color="auto"/>
      </w:pBdr>
      <w:spacing w:before="100" w:beforeAutospacing="1" w:after="100" w:afterAutospacing="1"/>
      <w:jc w:val="center"/>
    </w:pPr>
    <w:rPr>
      <w:b/>
      <w:bCs/>
      <w:sz w:val="20"/>
      <w:szCs w:val="20"/>
    </w:rPr>
  </w:style>
  <w:style w:type="paragraph" w:customStyle="1" w:styleId="xl76">
    <w:name w:val="xl76"/>
    <w:basedOn w:val="Normal"/>
    <w:rsid w:val="00646128"/>
    <w:pPr>
      <w:pBdr>
        <w:bottom w:val="single" w:sz="4" w:space="0" w:color="auto"/>
        <w:right w:val="single" w:sz="4" w:space="0" w:color="auto"/>
      </w:pBdr>
      <w:spacing w:before="100" w:beforeAutospacing="1" w:after="100" w:afterAutospacing="1"/>
    </w:pPr>
    <w:rPr>
      <w:b/>
      <w:bCs/>
      <w:sz w:val="20"/>
      <w:szCs w:val="20"/>
    </w:rPr>
  </w:style>
  <w:style w:type="paragraph" w:customStyle="1" w:styleId="xl77">
    <w:name w:val="xl77"/>
    <w:basedOn w:val="Normal"/>
    <w:rsid w:val="00646128"/>
    <w:pPr>
      <w:pBdr>
        <w:bottom w:val="single" w:sz="4" w:space="0" w:color="auto"/>
      </w:pBdr>
      <w:spacing w:before="100" w:beforeAutospacing="1" w:after="100" w:afterAutospacing="1"/>
      <w:jc w:val="center"/>
    </w:pPr>
    <w:rPr>
      <w:b/>
      <w:bCs/>
      <w:sz w:val="20"/>
      <w:szCs w:val="20"/>
    </w:rPr>
  </w:style>
  <w:style w:type="paragraph" w:customStyle="1" w:styleId="xl78">
    <w:name w:val="xl78"/>
    <w:basedOn w:val="Normal"/>
    <w:rsid w:val="00646128"/>
    <w:pPr>
      <w:spacing w:before="100" w:beforeAutospacing="1" w:after="100" w:afterAutospacing="1"/>
      <w:jc w:val="center"/>
    </w:pPr>
    <w:rPr>
      <w:sz w:val="20"/>
      <w:szCs w:val="20"/>
    </w:rPr>
  </w:style>
  <w:style w:type="paragraph" w:customStyle="1" w:styleId="xl79">
    <w:name w:val="xl79"/>
    <w:basedOn w:val="Normal"/>
    <w:rsid w:val="00646128"/>
    <w:pPr>
      <w:pBdr>
        <w:right w:val="single" w:sz="4" w:space="0" w:color="auto"/>
      </w:pBdr>
      <w:spacing w:before="100" w:beforeAutospacing="1" w:after="100" w:afterAutospacing="1"/>
    </w:pPr>
    <w:rPr>
      <w:sz w:val="20"/>
      <w:szCs w:val="20"/>
    </w:rPr>
  </w:style>
  <w:style w:type="paragraph" w:customStyle="1" w:styleId="xl80">
    <w:name w:val="xl80"/>
    <w:basedOn w:val="Normal"/>
    <w:rsid w:val="00646128"/>
    <w:pPr>
      <w:pBdr>
        <w:left w:val="single" w:sz="4" w:space="0" w:color="auto"/>
      </w:pBdr>
      <w:spacing w:before="100" w:beforeAutospacing="1" w:after="100" w:afterAutospacing="1"/>
      <w:jc w:val="center"/>
    </w:pPr>
    <w:rPr>
      <w:sz w:val="20"/>
      <w:szCs w:val="20"/>
    </w:rPr>
  </w:style>
  <w:style w:type="paragraph" w:customStyle="1" w:styleId="xl81">
    <w:name w:val="xl81"/>
    <w:basedOn w:val="Normal"/>
    <w:rsid w:val="00646128"/>
    <w:pPr>
      <w:spacing w:before="100" w:beforeAutospacing="1" w:after="100" w:afterAutospacing="1"/>
    </w:pPr>
    <w:rPr>
      <w:sz w:val="20"/>
      <w:szCs w:val="20"/>
    </w:rPr>
  </w:style>
  <w:style w:type="paragraph" w:customStyle="1" w:styleId="xl82">
    <w:name w:val="xl82"/>
    <w:basedOn w:val="Normal"/>
    <w:rsid w:val="00646128"/>
    <w:pPr>
      <w:pBdr>
        <w:left w:val="single" w:sz="4" w:space="0" w:color="auto"/>
      </w:pBdr>
      <w:spacing w:before="100" w:beforeAutospacing="1" w:after="100" w:afterAutospacing="1"/>
      <w:jc w:val="center"/>
    </w:pPr>
    <w:rPr>
      <w:sz w:val="20"/>
      <w:szCs w:val="20"/>
    </w:rPr>
  </w:style>
  <w:style w:type="paragraph" w:customStyle="1" w:styleId="xl83">
    <w:name w:val="xl83"/>
    <w:basedOn w:val="Normal"/>
    <w:rsid w:val="00646128"/>
    <w:pPr>
      <w:spacing w:before="100" w:beforeAutospacing="1" w:after="100" w:afterAutospacing="1"/>
    </w:pPr>
    <w:rPr>
      <w:sz w:val="20"/>
      <w:szCs w:val="20"/>
    </w:rPr>
  </w:style>
  <w:style w:type="paragraph" w:customStyle="1" w:styleId="xl84">
    <w:name w:val="xl84"/>
    <w:basedOn w:val="Normal"/>
    <w:rsid w:val="00646128"/>
    <w:pPr>
      <w:spacing w:before="100" w:beforeAutospacing="1" w:after="100" w:afterAutospacing="1"/>
    </w:pPr>
    <w:rPr>
      <w:sz w:val="20"/>
      <w:szCs w:val="20"/>
    </w:rPr>
  </w:style>
  <w:style w:type="paragraph" w:customStyle="1" w:styleId="xl85">
    <w:name w:val="xl85"/>
    <w:basedOn w:val="Normal"/>
    <w:rsid w:val="00646128"/>
    <w:pPr>
      <w:pBdr>
        <w:left w:val="single" w:sz="4" w:space="0" w:color="auto"/>
      </w:pBdr>
      <w:spacing w:before="100" w:beforeAutospacing="1" w:after="100" w:afterAutospacing="1"/>
      <w:jc w:val="center"/>
    </w:pPr>
    <w:rPr>
      <w:b/>
      <w:bCs/>
      <w:sz w:val="20"/>
      <w:szCs w:val="20"/>
    </w:rPr>
  </w:style>
  <w:style w:type="paragraph" w:customStyle="1" w:styleId="xl86">
    <w:name w:val="xl86"/>
    <w:basedOn w:val="Normal"/>
    <w:rsid w:val="00646128"/>
    <w:pPr>
      <w:spacing w:before="100" w:beforeAutospacing="1" w:after="100" w:afterAutospacing="1"/>
      <w:jc w:val="center"/>
    </w:pPr>
    <w:rPr>
      <w:sz w:val="20"/>
      <w:szCs w:val="20"/>
    </w:rPr>
  </w:style>
  <w:style w:type="paragraph" w:customStyle="1" w:styleId="xl87">
    <w:name w:val="xl87"/>
    <w:basedOn w:val="Normal"/>
    <w:rsid w:val="00646128"/>
    <w:pPr>
      <w:spacing w:before="100" w:beforeAutospacing="1" w:after="100" w:afterAutospacing="1"/>
      <w:jc w:val="center"/>
    </w:pPr>
    <w:rPr>
      <w:sz w:val="20"/>
      <w:szCs w:val="20"/>
    </w:rPr>
  </w:style>
  <w:style w:type="paragraph" w:customStyle="1" w:styleId="xl88">
    <w:name w:val="xl88"/>
    <w:basedOn w:val="Normal"/>
    <w:rsid w:val="00646128"/>
    <w:pPr>
      <w:spacing w:before="100" w:beforeAutospacing="1" w:after="100" w:afterAutospacing="1"/>
      <w:jc w:val="center"/>
    </w:pPr>
    <w:rPr>
      <w:b/>
      <w:bCs/>
      <w:sz w:val="20"/>
      <w:szCs w:val="20"/>
    </w:rPr>
  </w:style>
  <w:style w:type="paragraph" w:customStyle="1" w:styleId="xl89">
    <w:name w:val="xl89"/>
    <w:basedOn w:val="Normal"/>
    <w:rsid w:val="00646128"/>
    <w:pPr>
      <w:spacing w:before="100" w:beforeAutospacing="1" w:after="100" w:afterAutospacing="1"/>
      <w:jc w:val="center"/>
    </w:pPr>
    <w:rPr>
      <w:sz w:val="20"/>
      <w:szCs w:val="20"/>
    </w:rPr>
  </w:style>
  <w:style w:type="paragraph" w:customStyle="1" w:styleId="xl90">
    <w:name w:val="xl90"/>
    <w:basedOn w:val="Normal"/>
    <w:rsid w:val="00646128"/>
    <w:pPr>
      <w:spacing w:before="100" w:beforeAutospacing="1" w:after="100" w:afterAutospacing="1"/>
    </w:pPr>
    <w:rPr>
      <w:b/>
      <w:bCs/>
      <w:sz w:val="20"/>
      <w:szCs w:val="20"/>
    </w:rPr>
  </w:style>
  <w:style w:type="paragraph" w:customStyle="1" w:styleId="xl91">
    <w:name w:val="xl91"/>
    <w:basedOn w:val="Normal"/>
    <w:rsid w:val="00646128"/>
    <w:pPr>
      <w:pBdr>
        <w:left w:val="single" w:sz="4" w:space="0" w:color="auto"/>
      </w:pBdr>
      <w:spacing w:before="100" w:beforeAutospacing="1" w:after="100" w:afterAutospacing="1"/>
      <w:jc w:val="center"/>
    </w:pPr>
    <w:rPr>
      <w:sz w:val="20"/>
      <w:szCs w:val="20"/>
    </w:rPr>
  </w:style>
  <w:style w:type="paragraph" w:customStyle="1" w:styleId="xl92">
    <w:name w:val="xl92"/>
    <w:basedOn w:val="Normal"/>
    <w:rsid w:val="00646128"/>
    <w:pPr>
      <w:pBdr>
        <w:left w:val="single" w:sz="4" w:space="0" w:color="auto"/>
      </w:pBdr>
      <w:spacing w:before="100" w:beforeAutospacing="1" w:after="100" w:afterAutospacing="1"/>
      <w:jc w:val="center"/>
    </w:pPr>
    <w:rPr>
      <w:sz w:val="20"/>
      <w:szCs w:val="20"/>
    </w:rPr>
  </w:style>
  <w:style w:type="paragraph" w:customStyle="1" w:styleId="xl93">
    <w:name w:val="xl93"/>
    <w:basedOn w:val="Normal"/>
    <w:rsid w:val="00646128"/>
    <w:pPr>
      <w:spacing w:before="100" w:beforeAutospacing="1" w:after="100" w:afterAutospacing="1"/>
      <w:textAlignment w:val="center"/>
    </w:pPr>
    <w:rPr>
      <w:sz w:val="20"/>
      <w:szCs w:val="20"/>
    </w:rPr>
  </w:style>
  <w:style w:type="paragraph" w:customStyle="1" w:styleId="xl94">
    <w:name w:val="xl94"/>
    <w:basedOn w:val="Normal"/>
    <w:rsid w:val="00646128"/>
    <w:pPr>
      <w:spacing w:before="100" w:beforeAutospacing="1" w:after="100" w:afterAutospacing="1"/>
      <w:jc w:val="center"/>
    </w:pPr>
    <w:rPr>
      <w:b/>
      <w:bCs/>
      <w:sz w:val="20"/>
      <w:szCs w:val="20"/>
    </w:rPr>
  </w:style>
  <w:style w:type="paragraph" w:customStyle="1" w:styleId="xl95">
    <w:name w:val="xl95"/>
    <w:basedOn w:val="Normal"/>
    <w:rsid w:val="00646128"/>
    <w:pPr>
      <w:pBdr>
        <w:bottom w:val="double" w:sz="6" w:space="0" w:color="auto"/>
        <w:right w:val="single" w:sz="4" w:space="0" w:color="auto"/>
      </w:pBdr>
      <w:spacing w:before="100" w:beforeAutospacing="1" w:after="100" w:afterAutospacing="1"/>
    </w:pPr>
    <w:rPr>
      <w:sz w:val="20"/>
      <w:szCs w:val="20"/>
    </w:rPr>
  </w:style>
  <w:style w:type="paragraph" w:customStyle="1" w:styleId="xl96">
    <w:name w:val="xl96"/>
    <w:basedOn w:val="Normal"/>
    <w:rsid w:val="00646128"/>
    <w:pPr>
      <w:pBdr>
        <w:bottom w:val="double" w:sz="6" w:space="0" w:color="auto"/>
        <w:right w:val="single" w:sz="4" w:space="0" w:color="auto"/>
      </w:pBdr>
      <w:spacing w:before="100" w:beforeAutospacing="1" w:after="100" w:afterAutospacing="1"/>
    </w:pPr>
    <w:rPr>
      <w:sz w:val="20"/>
      <w:szCs w:val="20"/>
    </w:rPr>
  </w:style>
  <w:style w:type="paragraph" w:customStyle="1" w:styleId="xl97">
    <w:name w:val="xl97"/>
    <w:basedOn w:val="Normal"/>
    <w:rsid w:val="00646128"/>
    <w:pPr>
      <w:pBdr>
        <w:left w:val="single" w:sz="4" w:space="0" w:color="auto"/>
        <w:bottom w:val="double" w:sz="6" w:space="0" w:color="auto"/>
      </w:pBdr>
      <w:spacing w:before="100" w:beforeAutospacing="1" w:after="100" w:afterAutospacing="1"/>
      <w:jc w:val="center"/>
    </w:pPr>
    <w:rPr>
      <w:sz w:val="20"/>
      <w:szCs w:val="20"/>
    </w:rPr>
  </w:style>
  <w:style w:type="paragraph" w:customStyle="1" w:styleId="xl98">
    <w:name w:val="xl98"/>
    <w:basedOn w:val="Normal"/>
    <w:rsid w:val="00646128"/>
    <w:pPr>
      <w:pBdr>
        <w:bottom w:val="double" w:sz="6" w:space="0" w:color="auto"/>
      </w:pBdr>
      <w:spacing w:before="100" w:beforeAutospacing="1" w:after="100" w:afterAutospacing="1"/>
    </w:pPr>
    <w:rPr>
      <w:sz w:val="20"/>
      <w:szCs w:val="20"/>
    </w:rPr>
  </w:style>
  <w:style w:type="paragraph" w:customStyle="1" w:styleId="xl99">
    <w:name w:val="xl99"/>
    <w:basedOn w:val="Normal"/>
    <w:rsid w:val="00646128"/>
    <w:pPr>
      <w:pBdr>
        <w:bottom w:val="double" w:sz="6" w:space="0" w:color="auto"/>
      </w:pBdr>
      <w:spacing w:before="100" w:beforeAutospacing="1" w:after="100" w:afterAutospacing="1"/>
      <w:jc w:val="center"/>
    </w:pPr>
    <w:rPr>
      <w:sz w:val="20"/>
      <w:szCs w:val="20"/>
    </w:rPr>
  </w:style>
  <w:style w:type="paragraph" w:customStyle="1" w:styleId="xl100">
    <w:name w:val="xl100"/>
    <w:basedOn w:val="Normal"/>
    <w:rsid w:val="00646128"/>
    <w:pPr>
      <w:pBdr>
        <w:left w:val="double" w:sz="6" w:space="0" w:color="auto"/>
        <w:right w:val="single" w:sz="4" w:space="0" w:color="auto"/>
      </w:pBdr>
      <w:spacing w:before="100" w:beforeAutospacing="1" w:after="100" w:afterAutospacing="1"/>
    </w:pPr>
    <w:rPr>
      <w:sz w:val="20"/>
      <w:szCs w:val="20"/>
    </w:rPr>
  </w:style>
  <w:style w:type="paragraph" w:customStyle="1" w:styleId="xl101">
    <w:name w:val="xl101"/>
    <w:basedOn w:val="Normal"/>
    <w:rsid w:val="00646128"/>
    <w:pPr>
      <w:pBdr>
        <w:left w:val="double" w:sz="6" w:space="0" w:color="auto"/>
        <w:right w:val="single" w:sz="4" w:space="0" w:color="auto"/>
      </w:pBdr>
      <w:spacing w:before="100" w:beforeAutospacing="1" w:after="100" w:afterAutospacing="1"/>
    </w:pPr>
    <w:rPr>
      <w:b/>
      <w:bCs/>
      <w:sz w:val="20"/>
      <w:szCs w:val="20"/>
    </w:rPr>
  </w:style>
  <w:style w:type="paragraph" w:customStyle="1" w:styleId="xl102">
    <w:name w:val="xl102"/>
    <w:basedOn w:val="Normal"/>
    <w:rsid w:val="00646128"/>
    <w:pPr>
      <w:pBdr>
        <w:left w:val="double" w:sz="6" w:space="0" w:color="auto"/>
        <w:right w:val="single" w:sz="4" w:space="0" w:color="auto"/>
      </w:pBdr>
      <w:spacing w:before="100" w:beforeAutospacing="1" w:after="100" w:afterAutospacing="1"/>
    </w:pPr>
    <w:rPr>
      <w:sz w:val="20"/>
      <w:szCs w:val="20"/>
    </w:rPr>
  </w:style>
  <w:style w:type="paragraph" w:customStyle="1" w:styleId="xl103">
    <w:name w:val="xl103"/>
    <w:basedOn w:val="Normal"/>
    <w:rsid w:val="00646128"/>
    <w:pPr>
      <w:pBdr>
        <w:left w:val="double" w:sz="6" w:space="0" w:color="auto"/>
        <w:bottom w:val="single" w:sz="4" w:space="0" w:color="auto"/>
        <w:right w:val="single" w:sz="4" w:space="0" w:color="auto"/>
      </w:pBdr>
      <w:spacing w:before="100" w:beforeAutospacing="1" w:after="100" w:afterAutospacing="1"/>
    </w:pPr>
    <w:rPr>
      <w:sz w:val="20"/>
      <w:szCs w:val="20"/>
    </w:rPr>
  </w:style>
  <w:style w:type="paragraph" w:customStyle="1" w:styleId="xl104">
    <w:name w:val="xl104"/>
    <w:basedOn w:val="Normal"/>
    <w:rsid w:val="00646128"/>
    <w:pPr>
      <w:pBdr>
        <w:left w:val="double" w:sz="6" w:space="0" w:color="auto"/>
        <w:bottom w:val="double" w:sz="6" w:space="0" w:color="auto"/>
        <w:right w:val="single" w:sz="4" w:space="0" w:color="auto"/>
      </w:pBdr>
      <w:spacing w:before="100" w:beforeAutospacing="1" w:after="100" w:afterAutospacing="1"/>
    </w:pPr>
    <w:rPr>
      <w:sz w:val="20"/>
      <w:szCs w:val="20"/>
    </w:rPr>
  </w:style>
  <w:style w:type="paragraph" w:customStyle="1" w:styleId="xl105">
    <w:name w:val="xl105"/>
    <w:basedOn w:val="Normal"/>
    <w:rsid w:val="00646128"/>
    <w:pPr>
      <w:pBdr>
        <w:bottom w:val="single" w:sz="4" w:space="0" w:color="auto"/>
      </w:pBdr>
      <w:spacing w:before="100" w:beforeAutospacing="1" w:after="100" w:afterAutospacing="1"/>
    </w:pPr>
    <w:rPr>
      <w:b/>
      <w:bCs/>
      <w:sz w:val="20"/>
      <w:szCs w:val="20"/>
    </w:rPr>
  </w:style>
  <w:style w:type="paragraph" w:customStyle="1" w:styleId="xl106">
    <w:name w:val="xl106"/>
    <w:basedOn w:val="Normal"/>
    <w:rsid w:val="00646128"/>
    <w:pPr>
      <w:pBdr>
        <w:left w:val="double" w:sz="6" w:space="0" w:color="auto"/>
      </w:pBdr>
      <w:spacing w:before="100" w:beforeAutospacing="1" w:after="100" w:afterAutospacing="1"/>
    </w:pPr>
    <w:rPr>
      <w:sz w:val="20"/>
      <w:szCs w:val="20"/>
    </w:rPr>
  </w:style>
  <w:style w:type="paragraph" w:customStyle="1" w:styleId="xl107">
    <w:name w:val="xl107"/>
    <w:basedOn w:val="Normal"/>
    <w:rsid w:val="00646128"/>
    <w:pPr>
      <w:pBdr>
        <w:left w:val="double" w:sz="6" w:space="0" w:color="auto"/>
      </w:pBdr>
      <w:spacing w:before="100" w:beforeAutospacing="1" w:after="100" w:afterAutospacing="1"/>
    </w:pPr>
    <w:rPr>
      <w:sz w:val="20"/>
      <w:szCs w:val="20"/>
    </w:rPr>
  </w:style>
  <w:style w:type="paragraph" w:customStyle="1" w:styleId="xl108">
    <w:name w:val="xl108"/>
    <w:basedOn w:val="Normal"/>
    <w:rsid w:val="00646128"/>
    <w:pPr>
      <w:pBdr>
        <w:left w:val="double" w:sz="6" w:space="0" w:color="auto"/>
        <w:bottom w:val="double" w:sz="6" w:space="0" w:color="auto"/>
      </w:pBdr>
      <w:spacing w:before="100" w:beforeAutospacing="1" w:after="100" w:afterAutospacing="1"/>
    </w:pPr>
    <w:rPr>
      <w:sz w:val="20"/>
      <w:szCs w:val="20"/>
    </w:rPr>
  </w:style>
  <w:style w:type="paragraph" w:customStyle="1" w:styleId="xl109">
    <w:name w:val="xl109"/>
    <w:basedOn w:val="Normal"/>
    <w:rsid w:val="00646128"/>
    <w:pPr>
      <w:pBdr>
        <w:top w:val="dotDash" w:sz="8" w:space="0" w:color="auto"/>
        <w:left w:val="double" w:sz="6" w:space="0" w:color="auto"/>
        <w:bottom w:val="single" w:sz="8" w:space="0" w:color="auto"/>
      </w:pBdr>
      <w:shd w:val="clear" w:color="000000" w:fill="A6A6A6"/>
      <w:spacing w:before="100" w:beforeAutospacing="1" w:after="100" w:afterAutospacing="1"/>
      <w:jc w:val="center"/>
    </w:pPr>
    <w:rPr>
      <w:b/>
      <w:bCs/>
    </w:rPr>
  </w:style>
  <w:style w:type="paragraph" w:customStyle="1" w:styleId="xl110">
    <w:name w:val="xl110"/>
    <w:basedOn w:val="Normal"/>
    <w:rsid w:val="00646128"/>
    <w:pPr>
      <w:pBdr>
        <w:top w:val="dotDash" w:sz="8" w:space="0" w:color="auto"/>
        <w:bottom w:val="single" w:sz="8" w:space="0" w:color="auto"/>
      </w:pBdr>
      <w:shd w:val="clear" w:color="000000" w:fill="A6A6A6"/>
      <w:spacing w:before="100" w:beforeAutospacing="1" w:after="100" w:afterAutospacing="1"/>
      <w:jc w:val="center"/>
    </w:pPr>
    <w:rPr>
      <w:b/>
      <w:bCs/>
    </w:rPr>
  </w:style>
  <w:style w:type="paragraph" w:customStyle="1" w:styleId="xl111">
    <w:name w:val="xl111"/>
    <w:basedOn w:val="Normal"/>
    <w:rsid w:val="00646128"/>
    <w:pPr>
      <w:pBdr>
        <w:top w:val="dotDash" w:sz="8" w:space="0" w:color="auto"/>
        <w:bottom w:val="single" w:sz="8" w:space="0" w:color="auto"/>
        <w:right w:val="double" w:sz="6" w:space="0" w:color="auto"/>
      </w:pBdr>
      <w:shd w:val="clear" w:color="000000" w:fill="A6A6A6"/>
      <w:spacing w:before="100" w:beforeAutospacing="1" w:after="100" w:afterAutospacing="1"/>
      <w:jc w:val="center"/>
    </w:pPr>
    <w:rPr>
      <w:b/>
      <w:bCs/>
    </w:rPr>
  </w:style>
  <w:style w:type="paragraph" w:customStyle="1" w:styleId="xl112">
    <w:name w:val="xl112"/>
    <w:basedOn w:val="Normal"/>
    <w:rsid w:val="00646128"/>
    <w:pPr>
      <w:pBdr>
        <w:bottom w:val="single" w:sz="8" w:space="0" w:color="auto"/>
        <w:right w:val="double" w:sz="6" w:space="0" w:color="auto"/>
      </w:pBdr>
      <w:shd w:val="clear" w:color="000000" w:fill="A6A6A6"/>
      <w:spacing w:before="100" w:beforeAutospacing="1" w:after="100" w:afterAutospacing="1"/>
      <w:jc w:val="center"/>
    </w:pPr>
    <w:rPr>
      <w:b/>
      <w:bCs/>
    </w:rPr>
  </w:style>
  <w:style w:type="paragraph" w:customStyle="1" w:styleId="xl113">
    <w:name w:val="xl113"/>
    <w:basedOn w:val="Normal"/>
    <w:rsid w:val="00646128"/>
    <w:pPr>
      <w:pBdr>
        <w:right w:val="single" w:sz="4" w:space="0" w:color="auto"/>
      </w:pBdr>
      <w:spacing w:before="100" w:beforeAutospacing="1" w:after="100" w:afterAutospacing="1"/>
    </w:pPr>
    <w:rPr>
      <w:sz w:val="20"/>
      <w:szCs w:val="20"/>
    </w:rPr>
  </w:style>
  <w:style w:type="paragraph" w:customStyle="1" w:styleId="xl114">
    <w:name w:val="xl114"/>
    <w:basedOn w:val="Normal"/>
    <w:rsid w:val="00646128"/>
    <w:pPr>
      <w:pBdr>
        <w:top w:val="double" w:sz="6" w:space="0" w:color="auto"/>
        <w:left w:val="double" w:sz="6" w:space="0" w:color="auto"/>
        <w:bottom w:val="dotDash" w:sz="8"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115">
    <w:name w:val="xl115"/>
    <w:basedOn w:val="Normal"/>
    <w:rsid w:val="00646128"/>
    <w:pPr>
      <w:pBdr>
        <w:top w:val="double" w:sz="6" w:space="0" w:color="auto"/>
        <w:left w:val="single" w:sz="4" w:space="0" w:color="auto"/>
        <w:bottom w:val="dotDash" w:sz="8" w:space="0" w:color="auto"/>
      </w:pBdr>
      <w:shd w:val="clear" w:color="000000" w:fill="A6A6A6"/>
      <w:spacing w:before="100" w:beforeAutospacing="1" w:after="100" w:afterAutospacing="1"/>
      <w:jc w:val="center"/>
      <w:textAlignment w:val="center"/>
    </w:pPr>
    <w:rPr>
      <w:b/>
      <w:bCs/>
      <w:sz w:val="20"/>
      <w:szCs w:val="20"/>
    </w:rPr>
  </w:style>
  <w:style w:type="paragraph" w:customStyle="1" w:styleId="xl116">
    <w:name w:val="xl116"/>
    <w:basedOn w:val="Normal"/>
    <w:rsid w:val="00646128"/>
    <w:pPr>
      <w:pBdr>
        <w:top w:val="double" w:sz="6" w:space="0" w:color="auto"/>
        <w:bottom w:val="dotDash" w:sz="8"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117">
    <w:name w:val="xl117"/>
    <w:basedOn w:val="Normal"/>
    <w:rsid w:val="00646128"/>
    <w:pPr>
      <w:pBdr>
        <w:top w:val="double" w:sz="6" w:space="0" w:color="auto"/>
        <w:left w:val="single" w:sz="4" w:space="0" w:color="auto"/>
        <w:bottom w:val="dotDash" w:sz="8" w:space="0" w:color="auto"/>
      </w:pBdr>
      <w:shd w:val="clear" w:color="000000" w:fill="A6A6A6"/>
      <w:spacing w:before="100" w:beforeAutospacing="1" w:after="100" w:afterAutospacing="1"/>
      <w:jc w:val="center"/>
      <w:textAlignment w:val="center"/>
    </w:pPr>
    <w:rPr>
      <w:b/>
      <w:bCs/>
      <w:sz w:val="20"/>
      <w:szCs w:val="20"/>
    </w:rPr>
  </w:style>
  <w:style w:type="paragraph" w:customStyle="1" w:styleId="xl118">
    <w:name w:val="xl118"/>
    <w:basedOn w:val="Normal"/>
    <w:rsid w:val="00646128"/>
    <w:pPr>
      <w:pBdr>
        <w:top w:val="double" w:sz="6" w:space="0" w:color="auto"/>
        <w:bottom w:val="dotDash" w:sz="8"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119">
    <w:name w:val="xl119"/>
    <w:basedOn w:val="Normal"/>
    <w:rsid w:val="00646128"/>
    <w:pPr>
      <w:pBdr>
        <w:top w:val="double" w:sz="6" w:space="0" w:color="auto"/>
        <w:bottom w:val="dotDash" w:sz="8" w:space="0" w:color="auto"/>
      </w:pBdr>
      <w:shd w:val="clear" w:color="000000" w:fill="A6A6A6"/>
      <w:spacing w:before="100" w:beforeAutospacing="1" w:after="100" w:afterAutospacing="1"/>
      <w:jc w:val="center"/>
      <w:textAlignment w:val="center"/>
    </w:pPr>
    <w:rPr>
      <w:b/>
      <w:bCs/>
      <w:sz w:val="20"/>
      <w:szCs w:val="20"/>
    </w:rPr>
  </w:style>
  <w:style w:type="paragraph" w:customStyle="1" w:styleId="xl120">
    <w:name w:val="xl120"/>
    <w:basedOn w:val="Normal"/>
    <w:rsid w:val="00646128"/>
    <w:pPr>
      <w:pBdr>
        <w:top w:val="double" w:sz="6" w:space="0" w:color="auto"/>
        <w:bottom w:val="dotDash" w:sz="8" w:space="0" w:color="auto"/>
      </w:pBdr>
      <w:shd w:val="clear" w:color="000000" w:fill="A6A6A6"/>
      <w:spacing w:before="100" w:beforeAutospacing="1" w:after="100" w:afterAutospacing="1"/>
      <w:textAlignment w:val="center"/>
    </w:pPr>
    <w:rPr>
      <w:sz w:val="20"/>
      <w:szCs w:val="20"/>
    </w:rPr>
  </w:style>
  <w:style w:type="paragraph" w:customStyle="1" w:styleId="xl121">
    <w:name w:val="xl121"/>
    <w:basedOn w:val="Normal"/>
    <w:rsid w:val="00646128"/>
    <w:pPr>
      <w:pBdr>
        <w:top w:val="double" w:sz="6" w:space="0" w:color="auto"/>
        <w:left w:val="double" w:sz="6" w:space="0" w:color="auto"/>
        <w:bottom w:val="dotDash" w:sz="8" w:space="0" w:color="auto"/>
      </w:pBdr>
      <w:shd w:val="clear" w:color="000000" w:fill="A6A6A6"/>
      <w:spacing w:before="100" w:beforeAutospacing="1" w:after="100" w:afterAutospacing="1"/>
      <w:jc w:val="center"/>
      <w:textAlignment w:val="center"/>
    </w:pPr>
    <w:rPr>
      <w:b/>
      <w:bCs/>
      <w:sz w:val="20"/>
      <w:szCs w:val="20"/>
    </w:rPr>
  </w:style>
  <w:style w:type="paragraph" w:customStyle="1" w:styleId="xl122">
    <w:name w:val="xl122"/>
    <w:basedOn w:val="Normal"/>
    <w:rsid w:val="00646128"/>
    <w:pPr>
      <w:pBdr>
        <w:top w:val="double" w:sz="6" w:space="0" w:color="auto"/>
        <w:left w:val="single" w:sz="4" w:space="0" w:color="auto"/>
        <w:bottom w:val="dotDash" w:sz="8" w:space="0" w:color="auto"/>
      </w:pBdr>
      <w:shd w:val="clear" w:color="000000" w:fill="A6A6A6"/>
      <w:spacing w:before="100" w:beforeAutospacing="1" w:after="100" w:afterAutospacing="1"/>
      <w:jc w:val="center"/>
      <w:textAlignment w:val="center"/>
    </w:pPr>
    <w:rPr>
      <w:b/>
      <w:bCs/>
      <w:sz w:val="20"/>
      <w:szCs w:val="20"/>
    </w:rPr>
  </w:style>
  <w:style w:type="paragraph" w:customStyle="1" w:styleId="xl123">
    <w:name w:val="xl123"/>
    <w:basedOn w:val="Normal"/>
    <w:rsid w:val="00646128"/>
    <w:pPr>
      <w:pBdr>
        <w:top w:val="double" w:sz="6" w:space="0" w:color="auto"/>
        <w:bottom w:val="dotDash" w:sz="8"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124">
    <w:name w:val="xl124"/>
    <w:basedOn w:val="Normal"/>
    <w:rsid w:val="00646128"/>
    <w:pPr>
      <w:pBdr>
        <w:top w:val="double" w:sz="6" w:space="0" w:color="auto"/>
        <w:bottom w:val="dotDash" w:sz="8" w:space="0" w:color="auto"/>
        <w:right w:val="double" w:sz="6" w:space="0" w:color="auto"/>
      </w:pBdr>
      <w:shd w:val="clear" w:color="000000" w:fill="A6A6A6"/>
      <w:spacing w:before="100" w:beforeAutospacing="1" w:after="100" w:afterAutospacing="1"/>
      <w:jc w:val="center"/>
      <w:textAlignment w:val="center"/>
    </w:pPr>
    <w:rPr>
      <w:b/>
      <w:bCs/>
      <w:sz w:val="20"/>
      <w:szCs w:val="20"/>
    </w:rPr>
  </w:style>
  <w:style w:type="paragraph" w:customStyle="1" w:styleId="xl125">
    <w:name w:val="xl125"/>
    <w:basedOn w:val="Normal"/>
    <w:rsid w:val="00646128"/>
    <w:pPr>
      <w:pBdr>
        <w:left w:val="single" w:sz="4" w:space="0" w:color="auto"/>
      </w:pBdr>
      <w:spacing w:before="100" w:beforeAutospacing="1" w:after="100" w:afterAutospacing="1"/>
      <w:jc w:val="center"/>
    </w:pPr>
    <w:rPr>
      <w:sz w:val="20"/>
      <w:szCs w:val="20"/>
    </w:rPr>
  </w:style>
  <w:style w:type="paragraph" w:customStyle="1" w:styleId="xl126">
    <w:name w:val="xl126"/>
    <w:basedOn w:val="Normal"/>
    <w:rsid w:val="00646128"/>
    <w:pPr>
      <w:pBdr>
        <w:right w:val="single" w:sz="4" w:space="0" w:color="auto"/>
      </w:pBdr>
      <w:spacing w:before="100" w:beforeAutospacing="1" w:after="100" w:afterAutospacing="1"/>
    </w:pPr>
    <w:rPr>
      <w:sz w:val="20"/>
      <w:szCs w:val="20"/>
    </w:rPr>
  </w:style>
  <w:style w:type="paragraph" w:customStyle="1" w:styleId="xl127">
    <w:name w:val="xl127"/>
    <w:basedOn w:val="Normal"/>
    <w:rsid w:val="00646128"/>
    <w:pPr>
      <w:pBdr>
        <w:left w:val="single" w:sz="4" w:space="0" w:color="auto"/>
      </w:pBdr>
      <w:spacing w:before="100" w:beforeAutospacing="1" w:after="100" w:afterAutospacing="1"/>
      <w:jc w:val="center"/>
    </w:pPr>
    <w:rPr>
      <w:sz w:val="16"/>
      <w:szCs w:val="16"/>
    </w:rPr>
  </w:style>
  <w:style w:type="paragraph" w:customStyle="1" w:styleId="xl128">
    <w:name w:val="xl128"/>
    <w:basedOn w:val="Normal"/>
    <w:rsid w:val="00646128"/>
    <w:pPr>
      <w:spacing w:before="100" w:beforeAutospacing="1" w:after="100" w:afterAutospacing="1"/>
    </w:pPr>
    <w:rPr>
      <w:sz w:val="16"/>
      <w:szCs w:val="16"/>
    </w:rPr>
  </w:style>
  <w:style w:type="paragraph" w:customStyle="1" w:styleId="xl129">
    <w:name w:val="xl129"/>
    <w:basedOn w:val="Normal"/>
    <w:rsid w:val="00646128"/>
    <w:pPr>
      <w:pBdr>
        <w:right w:val="single" w:sz="4" w:space="0" w:color="auto"/>
      </w:pBdr>
      <w:spacing w:before="100" w:beforeAutospacing="1" w:after="100" w:afterAutospacing="1"/>
    </w:pPr>
    <w:rPr>
      <w:sz w:val="16"/>
      <w:szCs w:val="16"/>
    </w:rPr>
  </w:style>
  <w:style w:type="paragraph" w:customStyle="1" w:styleId="xl130">
    <w:name w:val="xl130"/>
    <w:basedOn w:val="Normal"/>
    <w:rsid w:val="00646128"/>
    <w:pPr>
      <w:spacing w:before="100" w:beforeAutospacing="1" w:after="100" w:afterAutospacing="1"/>
      <w:jc w:val="center"/>
    </w:pPr>
    <w:rPr>
      <w:sz w:val="16"/>
      <w:szCs w:val="16"/>
    </w:rPr>
  </w:style>
  <w:style w:type="paragraph" w:customStyle="1" w:styleId="xl131">
    <w:name w:val="xl131"/>
    <w:basedOn w:val="Normal"/>
    <w:rsid w:val="00646128"/>
    <w:pPr>
      <w:pBdr>
        <w:right w:val="single" w:sz="4" w:space="0" w:color="auto"/>
      </w:pBdr>
      <w:spacing w:before="100" w:beforeAutospacing="1" w:after="100" w:afterAutospacing="1"/>
      <w:jc w:val="center"/>
    </w:pPr>
    <w:rPr>
      <w:sz w:val="16"/>
      <w:szCs w:val="16"/>
    </w:rPr>
  </w:style>
  <w:style w:type="paragraph" w:customStyle="1" w:styleId="xl132">
    <w:name w:val="xl132"/>
    <w:basedOn w:val="Normal"/>
    <w:rsid w:val="00646128"/>
    <w:pPr>
      <w:spacing w:before="100" w:beforeAutospacing="1" w:after="100" w:afterAutospacing="1"/>
    </w:pPr>
    <w:rPr>
      <w:sz w:val="20"/>
      <w:szCs w:val="20"/>
    </w:rPr>
  </w:style>
  <w:style w:type="paragraph" w:customStyle="1" w:styleId="xl133">
    <w:name w:val="xl133"/>
    <w:basedOn w:val="Normal"/>
    <w:rsid w:val="00646128"/>
    <w:pPr>
      <w:pBdr>
        <w:right w:val="single" w:sz="4" w:space="0" w:color="auto"/>
      </w:pBdr>
      <w:spacing w:before="100" w:beforeAutospacing="1" w:after="100" w:afterAutospacing="1"/>
    </w:pPr>
    <w:rPr>
      <w:sz w:val="20"/>
      <w:szCs w:val="20"/>
    </w:rPr>
  </w:style>
  <w:style w:type="paragraph" w:customStyle="1" w:styleId="xl134">
    <w:name w:val="xl134"/>
    <w:basedOn w:val="Normal"/>
    <w:rsid w:val="00646128"/>
    <w:pPr>
      <w:spacing w:before="100" w:beforeAutospacing="1" w:after="100" w:afterAutospacing="1"/>
      <w:jc w:val="center"/>
    </w:pPr>
    <w:rPr>
      <w:sz w:val="20"/>
      <w:szCs w:val="20"/>
    </w:rPr>
  </w:style>
  <w:style w:type="paragraph" w:customStyle="1" w:styleId="xl135">
    <w:name w:val="xl135"/>
    <w:basedOn w:val="Normal"/>
    <w:rsid w:val="00646128"/>
    <w:pPr>
      <w:pBdr>
        <w:left w:val="single" w:sz="4" w:space="0" w:color="auto"/>
        <w:bottom w:val="double" w:sz="6" w:space="0" w:color="auto"/>
      </w:pBdr>
      <w:spacing w:before="100" w:beforeAutospacing="1" w:after="100" w:afterAutospacing="1"/>
      <w:jc w:val="center"/>
    </w:pPr>
    <w:rPr>
      <w:sz w:val="20"/>
      <w:szCs w:val="20"/>
    </w:rPr>
  </w:style>
  <w:style w:type="paragraph" w:customStyle="1" w:styleId="xl136">
    <w:name w:val="xl136"/>
    <w:basedOn w:val="Normal"/>
    <w:rsid w:val="00646128"/>
    <w:pPr>
      <w:pBdr>
        <w:bottom w:val="double" w:sz="6" w:space="0" w:color="auto"/>
        <w:right w:val="single" w:sz="4" w:space="0" w:color="auto"/>
      </w:pBdr>
      <w:spacing w:before="100" w:beforeAutospacing="1" w:after="100" w:afterAutospacing="1"/>
    </w:pPr>
    <w:rPr>
      <w:sz w:val="20"/>
      <w:szCs w:val="20"/>
    </w:rPr>
  </w:style>
  <w:style w:type="paragraph" w:customStyle="1" w:styleId="xl137">
    <w:name w:val="xl137"/>
    <w:basedOn w:val="Normal"/>
    <w:rsid w:val="00646128"/>
    <w:pPr>
      <w:pBdr>
        <w:bottom w:val="double" w:sz="6" w:space="0" w:color="auto"/>
      </w:pBdr>
      <w:spacing w:before="100" w:beforeAutospacing="1" w:after="100" w:afterAutospacing="1"/>
      <w:jc w:val="center"/>
    </w:pPr>
    <w:rPr>
      <w:sz w:val="20"/>
      <w:szCs w:val="20"/>
    </w:rPr>
  </w:style>
  <w:style w:type="paragraph" w:customStyle="1" w:styleId="xl138">
    <w:name w:val="xl138"/>
    <w:basedOn w:val="Normal"/>
    <w:rsid w:val="00646128"/>
    <w:pPr>
      <w:pBdr>
        <w:left w:val="single" w:sz="4" w:space="0" w:color="auto"/>
      </w:pBdr>
      <w:spacing w:before="100" w:beforeAutospacing="1" w:after="100" w:afterAutospacing="1"/>
      <w:jc w:val="center"/>
    </w:pPr>
    <w:rPr>
      <w:sz w:val="16"/>
      <w:szCs w:val="16"/>
    </w:rPr>
  </w:style>
  <w:style w:type="paragraph" w:customStyle="1" w:styleId="xl139">
    <w:name w:val="xl139"/>
    <w:basedOn w:val="Normal"/>
    <w:rsid w:val="00646128"/>
    <w:pPr>
      <w:pBdr>
        <w:right w:val="single" w:sz="4" w:space="0" w:color="auto"/>
      </w:pBdr>
      <w:spacing w:before="100" w:beforeAutospacing="1" w:after="100" w:afterAutospacing="1"/>
    </w:pPr>
    <w:rPr>
      <w:sz w:val="16"/>
      <w:szCs w:val="16"/>
    </w:rPr>
  </w:style>
  <w:style w:type="paragraph" w:customStyle="1" w:styleId="xl140">
    <w:name w:val="xl140"/>
    <w:basedOn w:val="Normal"/>
    <w:rsid w:val="00646128"/>
    <w:pPr>
      <w:pBdr>
        <w:left w:val="single" w:sz="4" w:space="0" w:color="auto"/>
      </w:pBdr>
      <w:shd w:val="clear" w:color="4472C4" w:fill="auto"/>
      <w:spacing w:before="100" w:beforeAutospacing="1" w:after="100" w:afterAutospacing="1"/>
      <w:jc w:val="center"/>
    </w:pPr>
    <w:rPr>
      <w:sz w:val="20"/>
      <w:szCs w:val="20"/>
    </w:rPr>
  </w:style>
  <w:style w:type="paragraph" w:customStyle="1" w:styleId="xl141">
    <w:name w:val="xl141"/>
    <w:basedOn w:val="Normal"/>
    <w:rsid w:val="00646128"/>
    <w:pPr>
      <w:pBdr>
        <w:right w:val="single" w:sz="4" w:space="0" w:color="auto"/>
      </w:pBdr>
      <w:shd w:val="clear" w:color="4472C4" w:fill="auto"/>
      <w:spacing w:before="100" w:beforeAutospacing="1" w:after="100" w:afterAutospacing="1"/>
    </w:pPr>
    <w:rPr>
      <w:sz w:val="20"/>
      <w:szCs w:val="20"/>
    </w:rPr>
  </w:style>
  <w:style w:type="paragraph" w:customStyle="1" w:styleId="xl142">
    <w:name w:val="xl142"/>
    <w:basedOn w:val="Normal"/>
    <w:rsid w:val="00646128"/>
    <w:pPr>
      <w:pBdr>
        <w:left w:val="single" w:sz="4" w:space="0" w:color="auto"/>
      </w:pBdr>
      <w:shd w:val="clear" w:color="4472C4" w:fill="auto"/>
      <w:spacing w:before="100" w:beforeAutospacing="1" w:after="100" w:afterAutospacing="1"/>
      <w:jc w:val="center"/>
    </w:pPr>
    <w:rPr>
      <w:b/>
      <w:bCs/>
      <w:sz w:val="20"/>
      <w:szCs w:val="20"/>
    </w:rPr>
  </w:style>
  <w:style w:type="paragraph" w:customStyle="1" w:styleId="xl143">
    <w:name w:val="xl143"/>
    <w:basedOn w:val="Normal"/>
    <w:rsid w:val="00646128"/>
    <w:pPr>
      <w:pBdr>
        <w:right w:val="single" w:sz="4" w:space="0" w:color="auto"/>
      </w:pBdr>
      <w:shd w:val="clear" w:color="4472C4" w:fill="auto"/>
      <w:spacing w:before="100" w:beforeAutospacing="1" w:after="100" w:afterAutospacing="1"/>
    </w:pPr>
    <w:rPr>
      <w:b/>
      <w:bCs/>
      <w:sz w:val="20"/>
      <w:szCs w:val="20"/>
    </w:rPr>
  </w:style>
  <w:style w:type="paragraph" w:customStyle="1" w:styleId="xl144">
    <w:name w:val="xl144"/>
    <w:basedOn w:val="Normal"/>
    <w:rsid w:val="00646128"/>
    <w:pPr>
      <w:pBdr>
        <w:left w:val="single" w:sz="4" w:space="0" w:color="auto"/>
        <w:bottom w:val="single" w:sz="4" w:space="0" w:color="auto"/>
      </w:pBdr>
      <w:shd w:val="clear" w:color="4472C4" w:fill="auto"/>
      <w:spacing w:before="100" w:beforeAutospacing="1" w:after="100" w:afterAutospacing="1"/>
      <w:jc w:val="center"/>
    </w:pPr>
    <w:rPr>
      <w:sz w:val="20"/>
      <w:szCs w:val="20"/>
    </w:rPr>
  </w:style>
  <w:style w:type="paragraph" w:customStyle="1" w:styleId="xl145">
    <w:name w:val="xl145"/>
    <w:basedOn w:val="Normal"/>
    <w:rsid w:val="00646128"/>
    <w:pPr>
      <w:pBdr>
        <w:bottom w:val="single" w:sz="4" w:space="0" w:color="auto"/>
        <w:right w:val="single" w:sz="4" w:space="0" w:color="auto"/>
      </w:pBdr>
      <w:shd w:val="clear" w:color="4472C4" w:fill="auto"/>
      <w:spacing w:before="100" w:beforeAutospacing="1" w:after="100" w:afterAutospacing="1"/>
    </w:pPr>
    <w:rPr>
      <w:sz w:val="20"/>
      <w:szCs w:val="20"/>
    </w:rPr>
  </w:style>
  <w:style w:type="paragraph" w:customStyle="1" w:styleId="xl146">
    <w:name w:val="xl146"/>
    <w:basedOn w:val="Normal"/>
    <w:rsid w:val="00646128"/>
    <w:pPr>
      <w:shd w:val="clear" w:color="4472C4" w:fill="auto"/>
      <w:spacing w:before="100" w:beforeAutospacing="1" w:after="100" w:afterAutospacing="1"/>
      <w:jc w:val="center"/>
    </w:pPr>
    <w:rPr>
      <w:sz w:val="20"/>
      <w:szCs w:val="20"/>
    </w:rPr>
  </w:style>
  <w:style w:type="paragraph" w:customStyle="1" w:styleId="xl147">
    <w:name w:val="xl147"/>
    <w:basedOn w:val="Normal"/>
    <w:rsid w:val="00646128"/>
    <w:pPr>
      <w:pBdr>
        <w:right w:val="double" w:sz="6" w:space="0" w:color="auto"/>
      </w:pBdr>
      <w:shd w:val="clear" w:color="4472C4" w:fill="auto"/>
      <w:spacing w:before="100" w:beforeAutospacing="1" w:after="100" w:afterAutospacing="1"/>
      <w:jc w:val="center"/>
    </w:pPr>
    <w:rPr>
      <w:sz w:val="20"/>
      <w:szCs w:val="20"/>
    </w:rPr>
  </w:style>
  <w:style w:type="paragraph" w:customStyle="1" w:styleId="xl148">
    <w:name w:val="xl148"/>
    <w:basedOn w:val="Normal"/>
    <w:rsid w:val="00646128"/>
    <w:pPr>
      <w:shd w:val="clear" w:color="4472C4" w:fill="auto"/>
      <w:spacing w:before="100" w:beforeAutospacing="1" w:after="100" w:afterAutospacing="1"/>
      <w:jc w:val="center"/>
    </w:pPr>
    <w:rPr>
      <w:b/>
      <w:bCs/>
      <w:sz w:val="20"/>
      <w:szCs w:val="20"/>
    </w:rPr>
  </w:style>
  <w:style w:type="paragraph" w:customStyle="1" w:styleId="xl149">
    <w:name w:val="xl149"/>
    <w:basedOn w:val="Normal"/>
    <w:rsid w:val="00646128"/>
    <w:pPr>
      <w:pBdr>
        <w:right w:val="double" w:sz="6" w:space="0" w:color="auto"/>
      </w:pBdr>
      <w:shd w:val="clear" w:color="4472C4" w:fill="auto"/>
      <w:spacing w:before="100" w:beforeAutospacing="1" w:after="100" w:afterAutospacing="1"/>
      <w:jc w:val="center"/>
    </w:pPr>
    <w:rPr>
      <w:b/>
      <w:bCs/>
      <w:sz w:val="20"/>
      <w:szCs w:val="20"/>
    </w:rPr>
  </w:style>
  <w:style w:type="paragraph" w:customStyle="1" w:styleId="xl150">
    <w:name w:val="xl150"/>
    <w:basedOn w:val="Normal"/>
    <w:rsid w:val="00646128"/>
    <w:pPr>
      <w:pBdr>
        <w:left w:val="single" w:sz="4" w:space="0" w:color="auto"/>
      </w:pBdr>
      <w:shd w:val="clear" w:color="4472C4" w:fill="auto"/>
      <w:spacing w:before="100" w:beforeAutospacing="1" w:after="100" w:afterAutospacing="1"/>
      <w:jc w:val="center"/>
    </w:pPr>
    <w:rPr>
      <w:sz w:val="20"/>
      <w:szCs w:val="20"/>
    </w:rPr>
  </w:style>
  <w:style w:type="paragraph" w:customStyle="1" w:styleId="xl151">
    <w:name w:val="xl151"/>
    <w:basedOn w:val="Normal"/>
    <w:rsid w:val="00646128"/>
    <w:pPr>
      <w:pBdr>
        <w:left w:val="single" w:sz="4" w:space="0" w:color="auto"/>
      </w:pBdr>
      <w:shd w:val="clear" w:color="4472C4" w:fill="auto"/>
      <w:spacing w:before="100" w:beforeAutospacing="1" w:after="100" w:afterAutospacing="1"/>
      <w:jc w:val="center"/>
    </w:pPr>
    <w:rPr>
      <w:sz w:val="20"/>
      <w:szCs w:val="20"/>
    </w:rPr>
  </w:style>
  <w:style w:type="paragraph" w:customStyle="1" w:styleId="xl152">
    <w:name w:val="xl152"/>
    <w:basedOn w:val="Normal"/>
    <w:rsid w:val="00646128"/>
    <w:pPr>
      <w:pBdr>
        <w:left w:val="single" w:sz="4" w:space="0" w:color="auto"/>
      </w:pBdr>
      <w:shd w:val="clear" w:color="4472C4" w:fill="auto"/>
      <w:spacing w:before="100" w:beforeAutospacing="1" w:after="100" w:afterAutospacing="1"/>
      <w:jc w:val="center"/>
    </w:pPr>
    <w:rPr>
      <w:sz w:val="20"/>
      <w:szCs w:val="20"/>
    </w:rPr>
  </w:style>
  <w:style w:type="paragraph" w:customStyle="1" w:styleId="xl153">
    <w:name w:val="xl153"/>
    <w:basedOn w:val="Normal"/>
    <w:rsid w:val="00646128"/>
    <w:pPr>
      <w:pBdr>
        <w:right w:val="single" w:sz="4" w:space="0" w:color="auto"/>
      </w:pBdr>
      <w:shd w:val="clear" w:color="4472C4" w:fill="auto"/>
      <w:spacing w:before="100" w:beforeAutospacing="1" w:after="100" w:afterAutospacing="1"/>
    </w:pPr>
    <w:rPr>
      <w:sz w:val="20"/>
      <w:szCs w:val="20"/>
    </w:rPr>
  </w:style>
  <w:style w:type="paragraph" w:customStyle="1" w:styleId="xl154">
    <w:name w:val="xl154"/>
    <w:basedOn w:val="Normal"/>
    <w:rsid w:val="00646128"/>
    <w:pPr>
      <w:pBdr>
        <w:left w:val="single" w:sz="4" w:space="0" w:color="auto"/>
      </w:pBdr>
      <w:shd w:val="clear" w:color="4472C4" w:fill="auto"/>
      <w:spacing w:before="100" w:beforeAutospacing="1" w:after="100" w:afterAutospacing="1"/>
      <w:jc w:val="center"/>
    </w:pPr>
    <w:rPr>
      <w:sz w:val="16"/>
      <w:szCs w:val="16"/>
    </w:rPr>
  </w:style>
  <w:style w:type="paragraph" w:customStyle="1" w:styleId="xl155">
    <w:name w:val="xl155"/>
    <w:basedOn w:val="Normal"/>
    <w:rsid w:val="00646128"/>
    <w:pPr>
      <w:pBdr>
        <w:right w:val="single" w:sz="4" w:space="0" w:color="auto"/>
      </w:pBdr>
      <w:shd w:val="clear" w:color="4472C4" w:fill="auto"/>
      <w:spacing w:before="100" w:beforeAutospacing="1" w:after="100" w:afterAutospacing="1"/>
    </w:pPr>
    <w:rPr>
      <w:sz w:val="20"/>
      <w:szCs w:val="20"/>
    </w:rPr>
  </w:style>
  <w:style w:type="paragraph" w:customStyle="1" w:styleId="xl156">
    <w:name w:val="xl156"/>
    <w:basedOn w:val="Normal"/>
    <w:rsid w:val="00646128"/>
    <w:pPr>
      <w:pBdr>
        <w:right w:val="single" w:sz="4" w:space="0" w:color="auto"/>
      </w:pBdr>
      <w:shd w:val="clear" w:color="4472C4" w:fill="auto"/>
      <w:spacing w:before="100" w:beforeAutospacing="1" w:after="100" w:afterAutospacing="1"/>
    </w:pPr>
    <w:rPr>
      <w:sz w:val="20"/>
      <w:szCs w:val="20"/>
    </w:rPr>
  </w:style>
  <w:style w:type="paragraph" w:customStyle="1" w:styleId="xl157">
    <w:name w:val="xl157"/>
    <w:basedOn w:val="Normal"/>
    <w:rsid w:val="00646128"/>
    <w:pPr>
      <w:pBdr>
        <w:right w:val="double" w:sz="6" w:space="0" w:color="auto"/>
      </w:pBdr>
      <w:shd w:val="clear" w:color="4472C4" w:fill="auto"/>
      <w:spacing w:before="100" w:beforeAutospacing="1" w:after="100" w:afterAutospacing="1"/>
      <w:jc w:val="center"/>
    </w:pPr>
    <w:rPr>
      <w:sz w:val="16"/>
      <w:szCs w:val="16"/>
    </w:rPr>
  </w:style>
  <w:style w:type="paragraph" w:customStyle="1" w:styleId="xl158">
    <w:name w:val="xl158"/>
    <w:basedOn w:val="Normal"/>
    <w:rsid w:val="00646128"/>
    <w:pPr>
      <w:pBdr>
        <w:left w:val="single" w:sz="4" w:space="0" w:color="auto"/>
        <w:bottom w:val="double" w:sz="6" w:space="0" w:color="auto"/>
      </w:pBdr>
      <w:shd w:val="clear" w:color="4472C4" w:fill="auto"/>
      <w:spacing w:before="100" w:beforeAutospacing="1" w:after="100" w:afterAutospacing="1"/>
      <w:jc w:val="center"/>
    </w:pPr>
    <w:rPr>
      <w:sz w:val="20"/>
      <w:szCs w:val="20"/>
    </w:rPr>
  </w:style>
  <w:style w:type="paragraph" w:customStyle="1" w:styleId="xl159">
    <w:name w:val="xl159"/>
    <w:basedOn w:val="Normal"/>
    <w:rsid w:val="00646128"/>
    <w:pPr>
      <w:pBdr>
        <w:bottom w:val="double" w:sz="6" w:space="0" w:color="auto"/>
        <w:right w:val="double" w:sz="6" w:space="0" w:color="auto"/>
      </w:pBdr>
      <w:shd w:val="clear" w:color="4472C4" w:fill="auto"/>
      <w:spacing w:before="100" w:beforeAutospacing="1" w:after="100" w:afterAutospacing="1"/>
      <w:jc w:val="center"/>
    </w:pPr>
    <w:rPr>
      <w:sz w:val="20"/>
      <w:szCs w:val="20"/>
    </w:rPr>
  </w:style>
  <w:style w:type="paragraph" w:customStyle="1" w:styleId="xl160">
    <w:name w:val="xl160"/>
    <w:basedOn w:val="Normal"/>
    <w:rsid w:val="00646128"/>
    <w:pPr>
      <w:shd w:val="clear" w:color="4472C4" w:fill="auto"/>
      <w:spacing w:before="100" w:beforeAutospacing="1" w:after="100" w:afterAutospacing="1"/>
      <w:jc w:val="center"/>
    </w:pPr>
    <w:rPr>
      <w:sz w:val="20"/>
      <w:szCs w:val="20"/>
    </w:rPr>
  </w:style>
  <w:style w:type="paragraph" w:customStyle="1" w:styleId="xl161">
    <w:name w:val="xl161"/>
    <w:basedOn w:val="Normal"/>
    <w:rsid w:val="00646128"/>
    <w:pPr>
      <w:pBdr>
        <w:left w:val="single" w:sz="4" w:space="0" w:color="auto"/>
      </w:pBdr>
      <w:shd w:val="clear" w:color="4472C4" w:fill="auto"/>
      <w:spacing w:before="100" w:beforeAutospacing="1" w:after="100" w:afterAutospacing="1"/>
      <w:jc w:val="center"/>
    </w:pPr>
    <w:rPr>
      <w:sz w:val="16"/>
      <w:szCs w:val="16"/>
    </w:rPr>
  </w:style>
  <w:style w:type="paragraph" w:customStyle="1" w:styleId="xl162">
    <w:name w:val="xl162"/>
    <w:basedOn w:val="Normal"/>
    <w:rsid w:val="00646128"/>
    <w:pPr>
      <w:pBdr>
        <w:right w:val="single" w:sz="4" w:space="0" w:color="auto"/>
      </w:pBdr>
      <w:shd w:val="clear" w:color="4472C4" w:fill="auto"/>
      <w:spacing w:before="100" w:beforeAutospacing="1" w:after="100" w:afterAutospacing="1"/>
    </w:pPr>
    <w:rPr>
      <w:sz w:val="16"/>
      <w:szCs w:val="16"/>
    </w:rPr>
  </w:style>
  <w:style w:type="paragraph" w:customStyle="1" w:styleId="xl163">
    <w:name w:val="xl163"/>
    <w:basedOn w:val="Normal"/>
    <w:rsid w:val="00646128"/>
    <w:pPr>
      <w:pBdr>
        <w:bottom w:val="double" w:sz="6" w:space="0" w:color="auto"/>
        <w:right w:val="single" w:sz="4" w:space="0" w:color="auto"/>
      </w:pBdr>
      <w:shd w:val="clear" w:color="4472C4" w:fill="auto"/>
      <w:spacing w:before="100" w:beforeAutospacing="1" w:after="100" w:afterAutospacing="1"/>
    </w:pPr>
    <w:rPr>
      <w:sz w:val="20"/>
      <w:szCs w:val="20"/>
    </w:rPr>
  </w:style>
  <w:style w:type="character" w:styleId="Emphasis">
    <w:name w:val="Emphasis"/>
    <w:basedOn w:val="DefaultParagraphFont"/>
    <w:uiPriority w:val="20"/>
    <w:qFormat/>
    <w:rsid w:val="008E0982"/>
    <w:rPr>
      <w:i/>
      <w:iCs/>
    </w:rPr>
  </w:style>
  <w:style w:type="character" w:customStyle="1" w:styleId="ref-lnk">
    <w:name w:val="ref-lnk"/>
    <w:basedOn w:val="DefaultParagraphFont"/>
    <w:rsid w:val="006E15C2"/>
  </w:style>
  <w:style w:type="paragraph" w:styleId="BodyText">
    <w:name w:val="Body Text"/>
    <w:basedOn w:val="Normal"/>
    <w:link w:val="BodyTextChar"/>
    <w:rsid w:val="00785853"/>
    <w:pPr>
      <w:widowControl w:val="0"/>
      <w:suppressAutoHyphens/>
      <w:spacing w:after="140" w:line="276" w:lineRule="auto"/>
    </w:pPr>
    <w:rPr>
      <w:rFonts w:ascii="Liberation Serif" w:eastAsia="Songti SC" w:hAnsi="Liberation Serif" w:cs="Arial Unicode MS"/>
      <w:lang w:eastAsia="zh-CN" w:bidi="hi-IN"/>
    </w:rPr>
  </w:style>
  <w:style w:type="character" w:customStyle="1" w:styleId="BodyTextChar">
    <w:name w:val="Body Text Char"/>
    <w:basedOn w:val="DefaultParagraphFont"/>
    <w:link w:val="BodyText"/>
    <w:rsid w:val="00785853"/>
    <w:rPr>
      <w:rFonts w:ascii="Liberation Serif" w:eastAsia="Songti SC" w:hAnsi="Liberation Serif" w:cs="Arial Unicode MS"/>
      <w:sz w:val="24"/>
      <w:szCs w:val="24"/>
      <w:lang w:eastAsia="zh-CN" w:bidi="hi-IN"/>
    </w:rPr>
  </w:style>
  <w:style w:type="numbering" w:customStyle="1" w:styleId="CurrentList1">
    <w:name w:val="Current List1"/>
    <w:uiPriority w:val="99"/>
    <w:rsid w:val="00404E7A"/>
    <w:pPr>
      <w:numPr>
        <w:numId w:val="32"/>
      </w:numPr>
    </w:pPr>
  </w:style>
  <w:style w:type="numbering" w:customStyle="1" w:styleId="CurrentList2">
    <w:name w:val="Current List2"/>
    <w:uiPriority w:val="99"/>
    <w:rsid w:val="00404E7A"/>
    <w:pPr>
      <w:numPr>
        <w:numId w:val="33"/>
      </w:numPr>
    </w:pPr>
  </w:style>
  <w:style w:type="numbering" w:customStyle="1" w:styleId="CurrentList3">
    <w:name w:val="Current List3"/>
    <w:uiPriority w:val="99"/>
    <w:rsid w:val="0002122C"/>
    <w:pPr>
      <w:numPr>
        <w:numId w:val="34"/>
      </w:numPr>
    </w:pPr>
  </w:style>
  <w:style w:type="numbering" w:customStyle="1" w:styleId="CurrentList4">
    <w:name w:val="Current List4"/>
    <w:uiPriority w:val="99"/>
    <w:rsid w:val="000E7553"/>
    <w:pPr>
      <w:numPr>
        <w:numId w:val="35"/>
      </w:numPr>
    </w:pPr>
  </w:style>
  <w:style w:type="numbering" w:customStyle="1" w:styleId="CurrentList5">
    <w:name w:val="Current List5"/>
    <w:uiPriority w:val="99"/>
    <w:rsid w:val="000E7553"/>
    <w:pPr>
      <w:numPr>
        <w:numId w:val="36"/>
      </w:numPr>
    </w:pPr>
  </w:style>
  <w:style w:type="numbering" w:customStyle="1" w:styleId="CurrentList6">
    <w:name w:val="Current List6"/>
    <w:uiPriority w:val="99"/>
    <w:rsid w:val="004E6AEA"/>
    <w:pPr>
      <w:numPr>
        <w:numId w:val="38"/>
      </w:numPr>
    </w:pPr>
  </w:style>
  <w:style w:type="numbering" w:customStyle="1" w:styleId="CurrentList7">
    <w:name w:val="Current List7"/>
    <w:uiPriority w:val="99"/>
    <w:rsid w:val="008804BC"/>
    <w:pPr>
      <w:numPr>
        <w:numId w:val="39"/>
      </w:numPr>
    </w:pPr>
  </w:style>
  <w:style w:type="numbering" w:customStyle="1" w:styleId="CurrentList8">
    <w:name w:val="Current List8"/>
    <w:uiPriority w:val="99"/>
    <w:rsid w:val="008804BC"/>
    <w:pPr>
      <w:numPr>
        <w:numId w:val="40"/>
      </w:numPr>
    </w:pPr>
  </w:style>
  <w:style w:type="numbering" w:customStyle="1" w:styleId="CurrentList9">
    <w:name w:val="Current List9"/>
    <w:uiPriority w:val="99"/>
    <w:rsid w:val="008804BC"/>
    <w:pPr>
      <w:numPr>
        <w:numId w:val="41"/>
      </w:numPr>
    </w:pPr>
  </w:style>
  <w:style w:type="numbering" w:customStyle="1" w:styleId="CurrentList10">
    <w:name w:val="Current List10"/>
    <w:uiPriority w:val="99"/>
    <w:rsid w:val="008804BC"/>
    <w:pPr>
      <w:numPr>
        <w:numId w:val="43"/>
      </w:numPr>
    </w:pPr>
  </w:style>
  <w:style w:type="numbering" w:customStyle="1" w:styleId="CurrentList11">
    <w:name w:val="Current List11"/>
    <w:uiPriority w:val="99"/>
    <w:rsid w:val="00232C47"/>
    <w:pPr>
      <w:numPr>
        <w:numId w:val="45"/>
      </w:numPr>
    </w:pPr>
  </w:style>
  <w:style w:type="numbering" w:customStyle="1" w:styleId="CurrentList12">
    <w:name w:val="Current List12"/>
    <w:uiPriority w:val="99"/>
    <w:rsid w:val="00232C47"/>
    <w:pPr>
      <w:numPr>
        <w:numId w:val="47"/>
      </w:numPr>
    </w:pPr>
  </w:style>
  <w:style w:type="numbering" w:customStyle="1" w:styleId="CurrentList13">
    <w:name w:val="Current List13"/>
    <w:uiPriority w:val="99"/>
    <w:rsid w:val="00533A80"/>
    <w:pPr>
      <w:numPr>
        <w:numId w:val="49"/>
      </w:numPr>
    </w:pPr>
  </w:style>
  <w:style w:type="numbering" w:customStyle="1" w:styleId="CurrentList14">
    <w:name w:val="Current List14"/>
    <w:uiPriority w:val="99"/>
    <w:rsid w:val="006817D9"/>
    <w:pPr>
      <w:numPr>
        <w:numId w:val="51"/>
      </w:numPr>
    </w:pPr>
  </w:style>
  <w:style w:type="numbering" w:customStyle="1" w:styleId="CurrentList15">
    <w:name w:val="Current List15"/>
    <w:uiPriority w:val="99"/>
    <w:rsid w:val="006817D9"/>
    <w:pPr>
      <w:numPr>
        <w:numId w:val="53"/>
      </w:numPr>
    </w:pPr>
  </w:style>
  <w:style w:type="numbering" w:customStyle="1" w:styleId="CurrentList16">
    <w:name w:val="Current List16"/>
    <w:uiPriority w:val="99"/>
    <w:rsid w:val="006817D9"/>
    <w:pPr>
      <w:numPr>
        <w:numId w:val="55"/>
      </w:numPr>
    </w:pPr>
  </w:style>
  <w:style w:type="numbering" w:customStyle="1" w:styleId="CurrentList17">
    <w:name w:val="Current List17"/>
    <w:uiPriority w:val="99"/>
    <w:rsid w:val="00B61C8F"/>
    <w:pPr>
      <w:numPr>
        <w:numId w:val="6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2444">
      <w:bodyDiv w:val="1"/>
      <w:marLeft w:val="0"/>
      <w:marRight w:val="0"/>
      <w:marTop w:val="0"/>
      <w:marBottom w:val="0"/>
      <w:divBdr>
        <w:top w:val="none" w:sz="0" w:space="0" w:color="auto"/>
        <w:left w:val="none" w:sz="0" w:space="0" w:color="auto"/>
        <w:bottom w:val="none" w:sz="0" w:space="0" w:color="auto"/>
        <w:right w:val="none" w:sz="0" w:space="0" w:color="auto"/>
      </w:divBdr>
      <w:divsChild>
        <w:div w:id="123502577">
          <w:marLeft w:val="0"/>
          <w:marRight w:val="0"/>
          <w:marTop w:val="0"/>
          <w:marBottom w:val="0"/>
          <w:divBdr>
            <w:top w:val="none" w:sz="0" w:space="0" w:color="auto"/>
            <w:left w:val="none" w:sz="0" w:space="0" w:color="auto"/>
            <w:bottom w:val="none" w:sz="0" w:space="0" w:color="auto"/>
            <w:right w:val="none" w:sz="0" w:space="0" w:color="auto"/>
          </w:divBdr>
          <w:divsChild>
            <w:div w:id="505361332">
              <w:marLeft w:val="0"/>
              <w:marRight w:val="0"/>
              <w:marTop w:val="0"/>
              <w:marBottom w:val="0"/>
              <w:divBdr>
                <w:top w:val="none" w:sz="0" w:space="0" w:color="auto"/>
                <w:left w:val="none" w:sz="0" w:space="0" w:color="auto"/>
                <w:bottom w:val="none" w:sz="0" w:space="0" w:color="auto"/>
                <w:right w:val="none" w:sz="0" w:space="0" w:color="auto"/>
              </w:divBdr>
              <w:divsChild>
                <w:div w:id="91824508">
                  <w:marLeft w:val="0"/>
                  <w:marRight w:val="0"/>
                  <w:marTop w:val="0"/>
                  <w:marBottom w:val="0"/>
                  <w:divBdr>
                    <w:top w:val="none" w:sz="0" w:space="0" w:color="auto"/>
                    <w:left w:val="none" w:sz="0" w:space="0" w:color="auto"/>
                    <w:bottom w:val="none" w:sz="0" w:space="0" w:color="auto"/>
                    <w:right w:val="none" w:sz="0" w:space="0" w:color="auto"/>
                  </w:divBdr>
                  <w:divsChild>
                    <w:div w:id="151410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5299">
      <w:bodyDiv w:val="1"/>
      <w:marLeft w:val="0"/>
      <w:marRight w:val="0"/>
      <w:marTop w:val="0"/>
      <w:marBottom w:val="0"/>
      <w:divBdr>
        <w:top w:val="none" w:sz="0" w:space="0" w:color="auto"/>
        <w:left w:val="none" w:sz="0" w:space="0" w:color="auto"/>
        <w:bottom w:val="none" w:sz="0" w:space="0" w:color="auto"/>
        <w:right w:val="none" w:sz="0" w:space="0" w:color="auto"/>
      </w:divBdr>
    </w:div>
    <w:div w:id="23793492">
      <w:bodyDiv w:val="1"/>
      <w:marLeft w:val="0"/>
      <w:marRight w:val="0"/>
      <w:marTop w:val="0"/>
      <w:marBottom w:val="0"/>
      <w:divBdr>
        <w:top w:val="none" w:sz="0" w:space="0" w:color="auto"/>
        <w:left w:val="none" w:sz="0" w:space="0" w:color="auto"/>
        <w:bottom w:val="none" w:sz="0" w:space="0" w:color="auto"/>
        <w:right w:val="none" w:sz="0" w:space="0" w:color="auto"/>
      </w:divBdr>
    </w:div>
    <w:div w:id="27998029">
      <w:bodyDiv w:val="1"/>
      <w:marLeft w:val="0"/>
      <w:marRight w:val="0"/>
      <w:marTop w:val="0"/>
      <w:marBottom w:val="0"/>
      <w:divBdr>
        <w:top w:val="none" w:sz="0" w:space="0" w:color="auto"/>
        <w:left w:val="none" w:sz="0" w:space="0" w:color="auto"/>
        <w:bottom w:val="none" w:sz="0" w:space="0" w:color="auto"/>
        <w:right w:val="none" w:sz="0" w:space="0" w:color="auto"/>
      </w:divBdr>
    </w:div>
    <w:div w:id="31349317">
      <w:bodyDiv w:val="1"/>
      <w:marLeft w:val="0"/>
      <w:marRight w:val="0"/>
      <w:marTop w:val="0"/>
      <w:marBottom w:val="0"/>
      <w:divBdr>
        <w:top w:val="none" w:sz="0" w:space="0" w:color="auto"/>
        <w:left w:val="none" w:sz="0" w:space="0" w:color="auto"/>
        <w:bottom w:val="none" w:sz="0" w:space="0" w:color="auto"/>
        <w:right w:val="none" w:sz="0" w:space="0" w:color="auto"/>
      </w:divBdr>
    </w:div>
    <w:div w:id="49807993">
      <w:bodyDiv w:val="1"/>
      <w:marLeft w:val="0"/>
      <w:marRight w:val="0"/>
      <w:marTop w:val="0"/>
      <w:marBottom w:val="0"/>
      <w:divBdr>
        <w:top w:val="none" w:sz="0" w:space="0" w:color="auto"/>
        <w:left w:val="none" w:sz="0" w:space="0" w:color="auto"/>
        <w:bottom w:val="none" w:sz="0" w:space="0" w:color="auto"/>
        <w:right w:val="none" w:sz="0" w:space="0" w:color="auto"/>
      </w:divBdr>
    </w:div>
    <w:div w:id="62218890">
      <w:bodyDiv w:val="1"/>
      <w:marLeft w:val="0"/>
      <w:marRight w:val="0"/>
      <w:marTop w:val="0"/>
      <w:marBottom w:val="0"/>
      <w:divBdr>
        <w:top w:val="none" w:sz="0" w:space="0" w:color="auto"/>
        <w:left w:val="none" w:sz="0" w:space="0" w:color="auto"/>
        <w:bottom w:val="none" w:sz="0" w:space="0" w:color="auto"/>
        <w:right w:val="none" w:sz="0" w:space="0" w:color="auto"/>
      </w:divBdr>
    </w:div>
    <w:div w:id="71398220">
      <w:bodyDiv w:val="1"/>
      <w:marLeft w:val="0"/>
      <w:marRight w:val="0"/>
      <w:marTop w:val="0"/>
      <w:marBottom w:val="0"/>
      <w:divBdr>
        <w:top w:val="none" w:sz="0" w:space="0" w:color="auto"/>
        <w:left w:val="none" w:sz="0" w:space="0" w:color="auto"/>
        <w:bottom w:val="none" w:sz="0" w:space="0" w:color="auto"/>
        <w:right w:val="none" w:sz="0" w:space="0" w:color="auto"/>
      </w:divBdr>
      <w:divsChild>
        <w:div w:id="1141190900">
          <w:marLeft w:val="0"/>
          <w:marRight w:val="0"/>
          <w:marTop w:val="0"/>
          <w:marBottom w:val="0"/>
          <w:divBdr>
            <w:top w:val="none" w:sz="0" w:space="0" w:color="auto"/>
            <w:left w:val="none" w:sz="0" w:space="0" w:color="auto"/>
            <w:bottom w:val="none" w:sz="0" w:space="0" w:color="auto"/>
            <w:right w:val="none" w:sz="0" w:space="0" w:color="auto"/>
          </w:divBdr>
          <w:divsChild>
            <w:div w:id="1218318332">
              <w:marLeft w:val="0"/>
              <w:marRight w:val="0"/>
              <w:marTop w:val="0"/>
              <w:marBottom w:val="0"/>
              <w:divBdr>
                <w:top w:val="none" w:sz="0" w:space="0" w:color="auto"/>
                <w:left w:val="none" w:sz="0" w:space="0" w:color="auto"/>
                <w:bottom w:val="none" w:sz="0" w:space="0" w:color="auto"/>
                <w:right w:val="none" w:sz="0" w:space="0" w:color="auto"/>
              </w:divBdr>
              <w:divsChild>
                <w:div w:id="3621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62220">
      <w:bodyDiv w:val="1"/>
      <w:marLeft w:val="0"/>
      <w:marRight w:val="0"/>
      <w:marTop w:val="0"/>
      <w:marBottom w:val="0"/>
      <w:divBdr>
        <w:top w:val="none" w:sz="0" w:space="0" w:color="auto"/>
        <w:left w:val="none" w:sz="0" w:space="0" w:color="auto"/>
        <w:bottom w:val="none" w:sz="0" w:space="0" w:color="auto"/>
        <w:right w:val="none" w:sz="0" w:space="0" w:color="auto"/>
      </w:divBdr>
    </w:div>
    <w:div w:id="77676800">
      <w:bodyDiv w:val="1"/>
      <w:marLeft w:val="0"/>
      <w:marRight w:val="0"/>
      <w:marTop w:val="0"/>
      <w:marBottom w:val="0"/>
      <w:divBdr>
        <w:top w:val="none" w:sz="0" w:space="0" w:color="auto"/>
        <w:left w:val="none" w:sz="0" w:space="0" w:color="auto"/>
        <w:bottom w:val="none" w:sz="0" w:space="0" w:color="auto"/>
        <w:right w:val="none" w:sz="0" w:space="0" w:color="auto"/>
      </w:divBdr>
      <w:divsChild>
        <w:div w:id="1087313505">
          <w:marLeft w:val="0"/>
          <w:marRight w:val="0"/>
          <w:marTop w:val="0"/>
          <w:marBottom w:val="0"/>
          <w:divBdr>
            <w:top w:val="none" w:sz="0" w:space="0" w:color="auto"/>
            <w:left w:val="none" w:sz="0" w:space="0" w:color="auto"/>
            <w:bottom w:val="none" w:sz="0" w:space="0" w:color="auto"/>
            <w:right w:val="none" w:sz="0" w:space="0" w:color="auto"/>
          </w:divBdr>
          <w:divsChild>
            <w:div w:id="1817331315">
              <w:marLeft w:val="0"/>
              <w:marRight w:val="0"/>
              <w:marTop w:val="0"/>
              <w:marBottom w:val="0"/>
              <w:divBdr>
                <w:top w:val="none" w:sz="0" w:space="0" w:color="auto"/>
                <w:left w:val="none" w:sz="0" w:space="0" w:color="auto"/>
                <w:bottom w:val="none" w:sz="0" w:space="0" w:color="auto"/>
                <w:right w:val="none" w:sz="0" w:space="0" w:color="auto"/>
              </w:divBdr>
              <w:divsChild>
                <w:div w:id="96122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8756">
      <w:bodyDiv w:val="1"/>
      <w:marLeft w:val="0"/>
      <w:marRight w:val="0"/>
      <w:marTop w:val="0"/>
      <w:marBottom w:val="0"/>
      <w:divBdr>
        <w:top w:val="none" w:sz="0" w:space="0" w:color="auto"/>
        <w:left w:val="none" w:sz="0" w:space="0" w:color="auto"/>
        <w:bottom w:val="none" w:sz="0" w:space="0" w:color="auto"/>
        <w:right w:val="none" w:sz="0" w:space="0" w:color="auto"/>
      </w:divBdr>
    </w:div>
    <w:div w:id="87121293">
      <w:bodyDiv w:val="1"/>
      <w:marLeft w:val="0"/>
      <w:marRight w:val="0"/>
      <w:marTop w:val="0"/>
      <w:marBottom w:val="0"/>
      <w:divBdr>
        <w:top w:val="none" w:sz="0" w:space="0" w:color="auto"/>
        <w:left w:val="none" w:sz="0" w:space="0" w:color="auto"/>
        <w:bottom w:val="none" w:sz="0" w:space="0" w:color="auto"/>
        <w:right w:val="none" w:sz="0" w:space="0" w:color="auto"/>
      </w:divBdr>
      <w:divsChild>
        <w:div w:id="2095009891">
          <w:marLeft w:val="0"/>
          <w:marRight w:val="0"/>
          <w:marTop w:val="0"/>
          <w:marBottom w:val="0"/>
          <w:divBdr>
            <w:top w:val="none" w:sz="0" w:space="0" w:color="auto"/>
            <w:left w:val="none" w:sz="0" w:space="0" w:color="auto"/>
            <w:bottom w:val="none" w:sz="0" w:space="0" w:color="auto"/>
            <w:right w:val="none" w:sz="0" w:space="0" w:color="auto"/>
          </w:divBdr>
          <w:divsChild>
            <w:div w:id="1637905386">
              <w:marLeft w:val="0"/>
              <w:marRight w:val="0"/>
              <w:marTop w:val="0"/>
              <w:marBottom w:val="0"/>
              <w:divBdr>
                <w:top w:val="none" w:sz="0" w:space="0" w:color="auto"/>
                <w:left w:val="none" w:sz="0" w:space="0" w:color="auto"/>
                <w:bottom w:val="none" w:sz="0" w:space="0" w:color="auto"/>
                <w:right w:val="none" w:sz="0" w:space="0" w:color="auto"/>
              </w:divBdr>
              <w:divsChild>
                <w:div w:id="212299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09798">
      <w:bodyDiv w:val="1"/>
      <w:marLeft w:val="0"/>
      <w:marRight w:val="0"/>
      <w:marTop w:val="0"/>
      <w:marBottom w:val="0"/>
      <w:divBdr>
        <w:top w:val="none" w:sz="0" w:space="0" w:color="auto"/>
        <w:left w:val="none" w:sz="0" w:space="0" w:color="auto"/>
        <w:bottom w:val="none" w:sz="0" w:space="0" w:color="auto"/>
        <w:right w:val="none" w:sz="0" w:space="0" w:color="auto"/>
      </w:divBdr>
    </w:div>
    <w:div w:id="114493322">
      <w:bodyDiv w:val="1"/>
      <w:marLeft w:val="0"/>
      <w:marRight w:val="0"/>
      <w:marTop w:val="0"/>
      <w:marBottom w:val="0"/>
      <w:divBdr>
        <w:top w:val="none" w:sz="0" w:space="0" w:color="auto"/>
        <w:left w:val="none" w:sz="0" w:space="0" w:color="auto"/>
        <w:bottom w:val="none" w:sz="0" w:space="0" w:color="auto"/>
        <w:right w:val="none" w:sz="0" w:space="0" w:color="auto"/>
      </w:divBdr>
    </w:div>
    <w:div w:id="124012904">
      <w:bodyDiv w:val="1"/>
      <w:marLeft w:val="0"/>
      <w:marRight w:val="0"/>
      <w:marTop w:val="0"/>
      <w:marBottom w:val="0"/>
      <w:divBdr>
        <w:top w:val="none" w:sz="0" w:space="0" w:color="auto"/>
        <w:left w:val="none" w:sz="0" w:space="0" w:color="auto"/>
        <w:bottom w:val="none" w:sz="0" w:space="0" w:color="auto"/>
        <w:right w:val="none" w:sz="0" w:space="0" w:color="auto"/>
      </w:divBdr>
    </w:div>
    <w:div w:id="160396320">
      <w:bodyDiv w:val="1"/>
      <w:marLeft w:val="0"/>
      <w:marRight w:val="0"/>
      <w:marTop w:val="0"/>
      <w:marBottom w:val="0"/>
      <w:divBdr>
        <w:top w:val="none" w:sz="0" w:space="0" w:color="auto"/>
        <w:left w:val="none" w:sz="0" w:space="0" w:color="auto"/>
        <w:bottom w:val="none" w:sz="0" w:space="0" w:color="auto"/>
        <w:right w:val="none" w:sz="0" w:space="0" w:color="auto"/>
      </w:divBdr>
      <w:divsChild>
        <w:div w:id="657732358">
          <w:marLeft w:val="0"/>
          <w:marRight w:val="0"/>
          <w:marTop w:val="0"/>
          <w:marBottom w:val="0"/>
          <w:divBdr>
            <w:top w:val="none" w:sz="0" w:space="0" w:color="auto"/>
            <w:left w:val="none" w:sz="0" w:space="0" w:color="auto"/>
            <w:bottom w:val="none" w:sz="0" w:space="0" w:color="auto"/>
            <w:right w:val="none" w:sz="0" w:space="0" w:color="auto"/>
          </w:divBdr>
          <w:divsChild>
            <w:div w:id="518469520">
              <w:marLeft w:val="0"/>
              <w:marRight w:val="0"/>
              <w:marTop w:val="0"/>
              <w:marBottom w:val="0"/>
              <w:divBdr>
                <w:top w:val="none" w:sz="0" w:space="0" w:color="auto"/>
                <w:left w:val="none" w:sz="0" w:space="0" w:color="auto"/>
                <w:bottom w:val="none" w:sz="0" w:space="0" w:color="auto"/>
                <w:right w:val="none" w:sz="0" w:space="0" w:color="auto"/>
              </w:divBdr>
              <w:divsChild>
                <w:div w:id="7497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78726">
      <w:bodyDiv w:val="1"/>
      <w:marLeft w:val="0"/>
      <w:marRight w:val="0"/>
      <w:marTop w:val="0"/>
      <w:marBottom w:val="0"/>
      <w:divBdr>
        <w:top w:val="none" w:sz="0" w:space="0" w:color="auto"/>
        <w:left w:val="none" w:sz="0" w:space="0" w:color="auto"/>
        <w:bottom w:val="none" w:sz="0" w:space="0" w:color="auto"/>
        <w:right w:val="none" w:sz="0" w:space="0" w:color="auto"/>
      </w:divBdr>
      <w:divsChild>
        <w:div w:id="1908371247">
          <w:marLeft w:val="0"/>
          <w:marRight w:val="0"/>
          <w:marTop w:val="0"/>
          <w:marBottom w:val="0"/>
          <w:divBdr>
            <w:top w:val="none" w:sz="0" w:space="0" w:color="auto"/>
            <w:left w:val="none" w:sz="0" w:space="0" w:color="auto"/>
            <w:bottom w:val="none" w:sz="0" w:space="0" w:color="auto"/>
            <w:right w:val="none" w:sz="0" w:space="0" w:color="auto"/>
          </w:divBdr>
          <w:divsChild>
            <w:div w:id="897547426">
              <w:marLeft w:val="0"/>
              <w:marRight w:val="0"/>
              <w:marTop w:val="0"/>
              <w:marBottom w:val="0"/>
              <w:divBdr>
                <w:top w:val="none" w:sz="0" w:space="0" w:color="auto"/>
                <w:left w:val="none" w:sz="0" w:space="0" w:color="auto"/>
                <w:bottom w:val="none" w:sz="0" w:space="0" w:color="auto"/>
                <w:right w:val="none" w:sz="0" w:space="0" w:color="auto"/>
              </w:divBdr>
              <w:divsChild>
                <w:div w:id="215821693">
                  <w:marLeft w:val="0"/>
                  <w:marRight w:val="0"/>
                  <w:marTop w:val="0"/>
                  <w:marBottom w:val="0"/>
                  <w:divBdr>
                    <w:top w:val="none" w:sz="0" w:space="0" w:color="auto"/>
                    <w:left w:val="none" w:sz="0" w:space="0" w:color="auto"/>
                    <w:bottom w:val="none" w:sz="0" w:space="0" w:color="auto"/>
                    <w:right w:val="none" w:sz="0" w:space="0" w:color="auto"/>
                  </w:divBdr>
                  <w:divsChild>
                    <w:div w:id="154791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38090">
      <w:bodyDiv w:val="1"/>
      <w:marLeft w:val="0"/>
      <w:marRight w:val="0"/>
      <w:marTop w:val="0"/>
      <w:marBottom w:val="0"/>
      <w:divBdr>
        <w:top w:val="none" w:sz="0" w:space="0" w:color="auto"/>
        <w:left w:val="none" w:sz="0" w:space="0" w:color="auto"/>
        <w:bottom w:val="none" w:sz="0" w:space="0" w:color="auto"/>
        <w:right w:val="none" w:sz="0" w:space="0" w:color="auto"/>
      </w:divBdr>
    </w:div>
    <w:div w:id="182478558">
      <w:bodyDiv w:val="1"/>
      <w:marLeft w:val="0"/>
      <w:marRight w:val="0"/>
      <w:marTop w:val="0"/>
      <w:marBottom w:val="0"/>
      <w:divBdr>
        <w:top w:val="none" w:sz="0" w:space="0" w:color="auto"/>
        <w:left w:val="none" w:sz="0" w:space="0" w:color="auto"/>
        <w:bottom w:val="none" w:sz="0" w:space="0" w:color="auto"/>
        <w:right w:val="none" w:sz="0" w:space="0" w:color="auto"/>
      </w:divBdr>
      <w:divsChild>
        <w:div w:id="23795490">
          <w:marLeft w:val="0"/>
          <w:marRight w:val="0"/>
          <w:marTop w:val="0"/>
          <w:marBottom w:val="0"/>
          <w:divBdr>
            <w:top w:val="none" w:sz="0" w:space="0" w:color="auto"/>
            <w:left w:val="none" w:sz="0" w:space="0" w:color="auto"/>
            <w:bottom w:val="none" w:sz="0" w:space="0" w:color="auto"/>
            <w:right w:val="none" w:sz="0" w:space="0" w:color="auto"/>
          </w:divBdr>
          <w:divsChild>
            <w:div w:id="1875926393">
              <w:marLeft w:val="0"/>
              <w:marRight w:val="0"/>
              <w:marTop w:val="0"/>
              <w:marBottom w:val="0"/>
              <w:divBdr>
                <w:top w:val="none" w:sz="0" w:space="0" w:color="auto"/>
                <w:left w:val="none" w:sz="0" w:space="0" w:color="auto"/>
                <w:bottom w:val="none" w:sz="0" w:space="0" w:color="auto"/>
                <w:right w:val="none" w:sz="0" w:space="0" w:color="auto"/>
              </w:divBdr>
              <w:divsChild>
                <w:div w:id="138853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30763">
      <w:bodyDiv w:val="1"/>
      <w:marLeft w:val="0"/>
      <w:marRight w:val="0"/>
      <w:marTop w:val="0"/>
      <w:marBottom w:val="0"/>
      <w:divBdr>
        <w:top w:val="none" w:sz="0" w:space="0" w:color="auto"/>
        <w:left w:val="none" w:sz="0" w:space="0" w:color="auto"/>
        <w:bottom w:val="none" w:sz="0" w:space="0" w:color="auto"/>
        <w:right w:val="none" w:sz="0" w:space="0" w:color="auto"/>
      </w:divBdr>
    </w:div>
    <w:div w:id="207031682">
      <w:bodyDiv w:val="1"/>
      <w:marLeft w:val="0"/>
      <w:marRight w:val="0"/>
      <w:marTop w:val="0"/>
      <w:marBottom w:val="0"/>
      <w:divBdr>
        <w:top w:val="none" w:sz="0" w:space="0" w:color="auto"/>
        <w:left w:val="none" w:sz="0" w:space="0" w:color="auto"/>
        <w:bottom w:val="none" w:sz="0" w:space="0" w:color="auto"/>
        <w:right w:val="none" w:sz="0" w:space="0" w:color="auto"/>
      </w:divBdr>
      <w:divsChild>
        <w:div w:id="665670952">
          <w:marLeft w:val="0"/>
          <w:marRight w:val="0"/>
          <w:marTop w:val="0"/>
          <w:marBottom w:val="0"/>
          <w:divBdr>
            <w:top w:val="none" w:sz="0" w:space="0" w:color="auto"/>
            <w:left w:val="none" w:sz="0" w:space="0" w:color="auto"/>
            <w:bottom w:val="none" w:sz="0" w:space="0" w:color="auto"/>
            <w:right w:val="none" w:sz="0" w:space="0" w:color="auto"/>
          </w:divBdr>
          <w:divsChild>
            <w:div w:id="431821523">
              <w:marLeft w:val="0"/>
              <w:marRight w:val="0"/>
              <w:marTop w:val="0"/>
              <w:marBottom w:val="0"/>
              <w:divBdr>
                <w:top w:val="none" w:sz="0" w:space="0" w:color="auto"/>
                <w:left w:val="none" w:sz="0" w:space="0" w:color="auto"/>
                <w:bottom w:val="none" w:sz="0" w:space="0" w:color="auto"/>
                <w:right w:val="none" w:sz="0" w:space="0" w:color="auto"/>
              </w:divBdr>
              <w:divsChild>
                <w:div w:id="15886134">
                  <w:marLeft w:val="0"/>
                  <w:marRight w:val="0"/>
                  <w:marTop w:val="0"/>
                  <w:marBottom w:val="0"/>
                  <w:divBdr>
                    <w:top w:val="none" w:sz="0" w:space="0" w:color="auto"/>
                    <w:left w:val="none" w:sz="0" w:space="0" w:color="auto"/>
                    <w:bottom w:val="none" w:sz="0" w:space="0" w:color="auto"/>
                    <w:right w:val="none" w:sz="0" w:space="0" w:color="auto"/>
                  </w:divBdr>
                </w:div>
                <w:div w:id="485173481">
                  <w:marLeft w:val="0"/>
                  <w:marRight w:val="0"/>
                  <w:marTop w:val="0"/>
                  <w:marBottom w:val="0"/>
                  <w:divBdr>
                    <w:top w:val="none" w:sz="0" w:space="0" w:color="auto"/>
                    <w:left w:val="none" w:sz="0" w:space="0" w:color="auto"/>
                    <w:bottom w:val="none" w:sz="0" w:space="0" w:color="auto"/>
                    <w:right w:val="none" w:sz="0" w:space="0" w:color="auto"/>
                  </w:divBdr>
                </w:div>
                <w:div w:id="581989400">
                  <w:marLeft w:val="0"/>
                  <w:marRight w:val="0"/>
                  <w:marTop w:val="0"/>
                  <w:marBottom w:val="0"/>
                  <w:divBdr>
                    <w:top w:val="none" w:sz="0" w:space="0" w:color="auto"/>
                    <w:left w:val="none" w:sz="0" w:space="0" w:color="auto"/>
                    <w:bottom w:val="none" w:sz="0" w:space="0" w:color="auto"/>
                    <w:right w:val="none" w:sz="0" w:space="0" w:color="auto"/>
                  </w:divBdr>
                </w:div>
                <w:div w:id="1459105829">
                  <w:marLeft w:val="0"/>
                  <w:marRight w:val="0"/>
                  <w:marTop w:val="0"/>
                  <w:marBottom w:val="0"/>
                  <w:divBdr>
                    <w:top w:val="none" w:sz="0" w:space="0" w:color="auto"/>
                    <w:left w:val="none" w:sz="0" w:space="0" w:color="auto"/>
                    <w:bottom w:val="none" w:sz="0" w:space="0" w:color="auto"/>
                    <w:right w:val="none" w:sz="0" w:space="0" w:color="auto"/>
                  </w:divBdr>
                </w:div>
              </w:divsChild>
            </w:div>
            <w:div w:id="603851326">
              <w:marLeft w:val="0"/>
              <w:marRight w:val="0"/>
              <w:marTop w:val="0"/>
              <w:marBottom w:val="0"/>
              <w:divBdr>
                <w:top w:val="none" w:sz="0" w:space="0" w:color="auto"/>
                <w:left w:val="none" w:sz="0" w:space="0" w:color="auto"/>
                <w:bottom w:val="none" w:sz="0" w:space="0" w:color="auto"/>
                <w:right w:val="none" w:sz="0" w:space="0" w:color="auto"/>
              </w:divBdr>
              <w:divsChild>
                <w:div w:id="535002845">
                  <w:marLeft w:val="0"/>
                  <w:marRight w:val="0"/>
                  <w:marTop w:val="0"/>
                  <w:marBottom w:val="0"/>
                  <w:divBdr>
                    <w:top w:val="none" w:sz="0" w:space="0" w:color="auto"/>
                    <w:left w:val="none" w:sz="0" w:space="0" w:color="auto"/>
                    <w:bottom w:val="none" w:sz="0" w:space="0" w:color="auto"/>
                    <w:right w:val="none" w:sz="0" w:space="0" w:color="auto"/>
                  </w:divBdr>
                </w:div>
              </w:divsChild>
            </w:div>
            <w:div w:id="1842693819">
              <w:marLeft w:val="0"/>
              <w:marRight w:val="0"/>
              <w:marTop w:val="0"/>
              <w:marBottom w:val="0"/>
              <w:divBdr>
                <w:top w:val="none" w:sz="0" w:space="0" w:color="auto"/>
                <w:left w:val="none" w:sz="0" w:space="0" w:color="auto"/>
                <w:bottom w:val="none" w:sz="0" w:space="0" w:color="auto"/>
                <w:right w:val="none" w:sz="0" w:space="0" w:color="auto"/>
              </w:divBdr>
              <w:divsChild>
                <w:div w:id="191118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34329">
      <w:bodyDiv w:val="1"/>
      <w:marLeft w:val="0"/>
      <w:marRight w:val="0"/>
      <w:marTop w:val="0"/>
      <w:marBottom w:val="0"/>
      <w:divBdr>
        <w:top w:val="none" w:sz="0" w:space="0" w:color="auto"/>
        <w:left w:val="none" w:sz="0" w:space="0" w:color="auto"/>
        <w:bottom w:val="none" w:sz="0" w:space="0" w:color="auto"/>
        <w:right w:val="none" w:sz="0" w:space="0" w:color="auto"/>
      </w:divBdr>
      <w:divsChild>
        <w:div w:id="1418480749">
          <w:marLeft w:val="0"/>
          <w:marRight w:val="0"/>
          <w:marTop w:val="0"/>
          <w:marBottom w:val="0"/>
          <w:divBdr>
            <w:top w:val="none" w:sz="0" w:space="0" w:color="auto"/>
            <w:left w:val="none" w:sz="0" w:space="0" w:color="auto"/>
            <w:bottom w:val="none" w:sz="0" w:space="0" w:color="auto"/>
            <w:right w:val="none" w:sz="0" w:space="0" w:color="auto"/>
          </w:divBdr>
          <w:divsChild>
            <w:div w:id="469909304">
              <w:marLeft w:val="0"/>
              <w:marRight w:val="0"/>
              <w:marTop w:val="0"/>
              <w:marBottom w:val="0"/>
              <w:divBdr>
                <w:top w:val="none" w:sz="0" w:space="0" w:color="auto"/>
                <w:left w:val="none" w:sz="0" w:space="0" w:color="auto"/>
                <w:bottom w:val="none" w:sz="0" w:space="0" w:color="auto"/>
                <w:right w:val="none" w:sz="0" w:space="0" w:color="auto"/>
              </w:divBdr>
              <w:divsChild>
                <w:div w:id="268970131">
                  <w:marLeft w:val="0"/>
                  <w:marRight w:val="0"/>
                  <w:marTop w:val="0"/>
                  <w:marBottom w:val="0"/>
                  <w:divBdr>
                    <w:top w:val="none" w:sz="0" w:space="0" w:color="auto"/>
                    <w:left w:val="none" w:sz="0" w:space="0" w:color="auto"/>
                    <w:bottom w:val="none" w:sz="0" w:space="0" w:color="auto"/>
                    <w:right w:val="none" w:sz="0" w:space="0" w:color="auto"/>
                  </w:divBdr>
                  <w:divsChild>
                    <w:div w:id="64994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360295">
      <w:bodyDiv w:val="1"/>
      <w:marLeft w:val="0"/>
      <w:marRight w:val="0"/>
      <w:marTop w:val="0"/>
      <w:marBottom w:val="0"/>
      <w:divBdr>
        <w:top w:val="none" w:sz="0" w:space="0" w:color="auto"/>
        <w:left w:val="none" w:sz="0" w:space="0" w:color="auto"/>
        <w:bottom w:val="none" w:sz="0" w:space="0" w:color="auto"/>
        <w:right w:val="none" w:sz="0" w:space="0" w:color="auto"/>
      </w:divBdr>
    </w:div>
    <w:div w:id="230506148">
      <w:bodyDiv w:val="1"/>
      <w:marLeft w:val="0"/>
      <w:marRight w:val="0"/>
      <w:marTop w:val="0"/>
      <w:marBottom w:val="0"/>
      <w:divBdr>
        <w:top w:val="none" w:sz="0" w:space="0" w:color="auto"/>
        <w:left w:val="none" w:sz="0" w:space="0" w:color="auto"/>
        <w:bottom w:val="none" w:sz="0" w:space="0" w:color="auto"/>
        <w:right w:val="none" w:sz="0" w:space="0" w:color="auto"/>
      </w:divBdr>
    </w:div>
    <w:div w:id="239222565">
      <w:bodyDiv w:val="1"/>
      <w:marLeft w:val="0"/>
      <w:marRight w:val="0"/>
      <w:marTop w:val="0"/>
      <w:marBottom w:val="0"/>
      <w:divBdr>
        <w:top w:val="none" w:sz="0" w:space="0" w:color="auto"/>
        <w:left w:val="none" w:sz="0" w:space="0" w:color="auto"/>
        <w:bottom w:val="none" w:sz="0" w:space="0" w:color="auto"/>
        <w:right w:val="none" w:sz="0" w:space="0" w:color="auto"/>
      </w:divBdr>
    </w:div>
    <w:div w:id="248345334">
      <w:bodyDiv w:val="1"/>
      <w:marLeft w:val="0"/>
      <w:marRight w:val="0"/>
      <w:marTop w:val="0"/>
      <w:marBottom w:val="0"/>
      <w:divBdr>
        <w:top w:val="none" w:sz="0" w:space="0" w:color="auto"/>
        <w:left w:val="none" w:sz="0" w:space="0" w:color="auto"/>
        <w:bottom w:val="none" w:sz="0" w:space="0" w:color="auto"/>
        <w:right w:val="none" w:sz="0" w:space="0" w:color="auto"/>
      </w:divBdr>
    </w:div>
    <w:div w:id="249702286">
      <w:bodyDiv w:val="1"/>
      <w:marLeft w:val="0"/>
      <w:marRight w:val="0"/>
      <w:marTop w:val="0"/>
      <w:marBottom w:val="0"/>
      <w:divBdr>
        <w:top w:val="none" w:sz="0" w:space="0" w:color="auto"/>
        <w:left w:val="none" w:sz="0" w:space="0" w:color="auto"/>
        <w:bottom w:val="none" w:sz="0" w:space="0" w:color="auto"/>
        <w:right w:val="none" w:sz="0" w:space="0" w:color="auto"/>
      </w:divBdr>
      <w:divsChild>
        <w:div w:id="789474115">
          <w:marLeft w:val="0"/>
          <w:marRight w:val="0"/>
          <w:marTop w:val="0"/>
          <w:marBottom w:val="0"/>
          <w:divBdr>
            <w:top w:val="none" w:sz="0" w:space="0" w:color="auto"/>
            <w:left w:val="none" w:sz="0" w:space="0" w:color="auto"/>
            <w:bottom w:val="none" w:sz="0" w:space="0" w:color="auto"/>
            <w:right w:val="none" w:sz="0" w:space="0" w:color="auto"/>
          </w:divBdr>
          <w:divsChild>
            <w:div w:id="404182633">
              <w:marLeft w:val="0"/>
              <w:marRight w:val="0"/>
              <w:marTop w:val="0"/>
              <w:marBottom w:val="0"/>
              <w:divBdr>
                <w:top w:val="none" w:sz="0" w:space="0" w:color="auto"/>
                <w:left w:val="none" w:sz="0" w:space="0" w:color="auto"/>
                <w:bottom w:val="none" w:sz="0" w:space="0" w:color="auto"/>
                <w:right w:val="none" w:sz="0" w:space="0" w:color="auto"/>
              </w:divBdr>
              <w:divsChild>
                <w:div w:id="692148331">
                  <w:marLeft w:val="0"/>
                  <w:marRight w:val="0"/>
                  <w:marTop w:val="0"/>
                  <w:marBottom w:val="0"/>
                  <w:divBdr>
                    <w:top w:val="none" w:sz="0" w:space="0" w:color="auto"/>
                    <w:left w:val="none" w:sz="0" w:space="0" w:color="auto"/>
                    <w:bottom w:val="none" w:sz="0" w:space="0" w:color="auto"/>
                    <w:right w:val="none" w:sz="0" w:space="0" w:color="auto"/>
                  </w:divBdr>
                  <w:divsChild>
                    <w:div w:id="84937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345441">
      <w:bodyDiv w:val="1"/>
      <w:marLeft w:val="0"/>
      <w:marRight w:val="0"/>
      <w:marTop w:val="0"/>
      <w:marBottom w:val="0"/>
      <w:divBdr>
        <w:top w:val="none" w:sz="0" w:space="0" w:color="auto"/>
        <w:left w:val="none" w:sz="0" w:space="0" w:color="auto"/>
        <w:bottom w:val="none" w:sz="0" w:space="0" w:color="auto"/>
        <w:right w:val="none" w:sz="0" w:space="0" w:color="auto"/>
      </w:divBdr>
    </w:div>
    <w:div w:id="271864477">
      <w:bodyDiv w:val="1"/>
      <w:marLeft w:val="0"/>
      <w:marRight w:val="0"/>
      <w:marTop w:val="0"/>
      <w:marBottom w:val="0"/>
      <w:divBdr>
        <w:top w:val="none" w:sz="0" w:space="0" w:color="auto"/>
        <w:left w:val="none" w:sz="0" w:space="0" w:color="auto"/>
        <w:bottom w:val="none" w:sz="0" w:space="0" w:color="auto"/>
        <w:right w:val="none" w:sz="0" w:space="0" w:color="auto"/>
      </w:divBdr>
      <w:divsChild>
        <w:div w:id="1800300955">
          <w:marLeft w:val="0"/>
          <w:marRight w:val="0"/>
          <w:marTop w:val="0"/>
          <w:marBottom w:val="0"/>
          <w:divBdr>
            <w:top w:val="none" w:sz="0" w:space="0" w:color="auto"/>
            <w:left w:val="none" w:sz="0" w:space="0" w:color="auto"/>
            <w:bottom w:val="none" w:sz="0" w:space="0" w:color="auto"/>
            <w:right w:val="none" w:sz="0" w:space="0" w:color="auto"/>
          </w:divBdr>
          <w:divsChild>
            <w:div w:id="1801611257">
              <w:marLeft w:val="0"/>
              <w:marRight w:val="0"/>
              <w:marTop w:val="0"/>
              <w:marBottom w:val="0"/>
              <w:divBdr>
                <w:top w:val="none" w:sz="0" w:space="0" w:color="auto"/>
                <w:left w:val="none" w:sz="0" w:space="0" w:color="auto"/>
                <w:bottom w:val="none" w:sz="0" w:space="0" w:color="auto"/>
                <w:right w:val="none" w:sz="0" w:space="0" w:color="auto"/>
              </w:divBdr>
              <w:divsChild>
                <w:div w:id="15211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632409">
      <w:bodyDiv w:val="1"/>
      <w:marLeft w:val="0"/>
      <w:marRight w:val="0"/>
      <w:marTop w:val="0"/>
      <w:marBottom w:val="0"/>
      <w:divBdr>
        <w:top w:val="none" w:sz="0" w:space="0" w:color="auto"/>
        <w:left w:val="none" w:sz="0" w:space="0" w:color="auto"/>
        <w:bottom w:val="none" w:sz="0" w:space="0" w:color="auto"/>
        <w:right w:val="none" w:sz="0" w:space="0" w:color="auto"/>
      </w:divBdr>
    </w:div>
    <w:div w:id="282466217">
      <w:bodyDiv w:val="1"/>
      <w:marLeft w:val="0"/>
      <w:marRight w:val="0"/>
      <w:marTop w:val="0"/>
      <w:marBottom w:val="0"/>
      <w:divBdr>
        <w:top w:val="none" w:sz="0" w:space="0" w:color="auto"/>
        <w:left w:val="none" w:sz="0" w:space="0" w:color="auto"/>
        <w:bottom w:val="none" w:sz="0" w:space="0" w:color="auto"/>
        <w:right w:val="none" w:sz="0" w:space="0" w:color="auto"/>
      </w:divBdr>
      <w:divsChild>
        <w:div w:id="1686905712">
          <w:marLeft w:val="0"/>
          <w:marRight w:val="0"/>
          <w:marTop w:val="0"/>
          <w:marBottom w:val="0"/>
          <w:divBdr>
            <w:top w:val="none" w:sz="0" w:space="0" w:color="auto"/>
            <w:left w:val="none" w:sz="0" w:space="0" w:color="auto"/>
            <w:bottom w:val="none" w:sz="0" w:space="0" w:color="auto"/>
            <w:right w:val="none" w:sz="0" w:space="0" w:color="auto"/>
          </w:divBdr>
          <w:divsChild>
            <w:div w:id="392968342">
              <w:marLeft w:val="0"/>
              <w:marRight w:val="0"/>
              <w:marTop w:val="0"/>
              <w:marBottom w:val="0"/>
              <w:divBdr>
                <w:top w:val="none" w:sz="0" w:space="0" w:color="auto"/>
                <w:left w:val="none" w:sz="0" w:space="0" w:color="auto"/>
                <w:bottom w:val="none" w:sz="0" w:space="0" w:color="auto"/>
                <w:right w:val="none" w:sz="0" w:space="0" w:color="auto"/>
              </w:divBdr>
              <w:divsChild>
                <w:div w:id="1286080907">
                  <w:marLeft w:val="0"/>
                  <w:marRight w:val="0"/>
                  <w:marTop w:val="0"/>
                  <w:marBottom w:val="0"/>
                  <w:divBdr>
                    <w:top w:val="none" w:sz="0" w:space="0" w:color="auto"/>
                    <w:left w:val="none" w:sz="0" w:space="0" w:color="auto"/>
                    <w:bottom w:val="none" w:sz="0" w:space="0" w:color="auto"/>
                    <w:right w:val="none" w:sz="0" w:space="0" w:color="auto"/>
                  </w:divBdr>
                  <w:divsChild>
                    <w:div w:id="60535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798294">
      <w:bodyDiv w:val="1"/>
      <w:marLeft w:val="0"/>
      <w:marRight w:val="0"/>
      <w:marTop w:val="0"/>
      <w:marBottom w:val="0"/>
      <w:divBdr>
        <w:top w:val="none" w:sz="0" w:space="0" w:color="auto"/>
        <w:left w:val="none" w:sz="0" w:space="0" w:color="auto"/>
        <w:bottom w:val="none" w:sz="0" w:space="0" w:color="auto"/>
        <w:right w:val="none" w:sz="0" w:space="0" w:color="auto"/>
      </w:divBdr>
    </w:div>
    <w:div w:id="297341576">
      <w:bodyDiv w:val="1"/>
      <w:marLeft w:val="0"/>
      <w:marRight w:val="0"/>
      <w:marTop w:val="0"/>
      <w:marBottom w:val="0"/>
      <w:divBdr>
        <w:top w:val="none" w:sz="0" w:space="0" w:color="auto"/>
        <w:left w:val="none" w:sz="0" w:space="0" w:color="auto"/>
        <w:bottom w:val="none" w:sz="0" w:space="0" w:color="auto"/>
        <w:right w:val="none" w:sz="0" w:space="0" w:color="auto"/>
      </w:divBdr>
      <w:divsChild>
        <w:div w:id="895310873">
          <w:marLeft w:val="0"/>
          <w:marRight w:val="0"/>
          <w:marTop w:val="0"/>
          <w:marBottom w:val="0"/>
          <w:divBdr>
            <w:top w:val="none" w:sz="0" w:space="0" w:color="auto"/>
            <w:left w:val="none" w:sz="0" w:space="0" w:color="auto"/>
            <w:bottom w:val="none" w:sz="0" w:space="0" w:color="auto"/>
            <w:right w:val="none" w:sz="0" w:space="0" w:color="auto"/>
          </w:divBdr>
          <w:divsChild>
            <w:div w:id="823354283">
              <w:marLeft w:val="0"/>
              <w:marRight w:val="0"/>
              <w:marTop w:val="0"/>
              <w:marBottom w:val="0"/>
              <w:divBdr>
                <w:top w:val="none" w:sz="0" w:space="0" w:color="auto"/>
                <w:left w:val="none" w:sz="0" w:space="0" w:color="auto"/>
                <w:bottom w:val="none" w:sz="0" w:space="0" w:color="auto"/>
                <w:right w:val="none" w:sz="0" w:space="0" w:color="auto"/>
              </w:divBdr>
              <w:divsChild>
                <w:div w:id="220791993">
                  <w:marLeft w:val="0"/>
                  <w:marRight w:val="0"/>
                  <w:marTop w:val="0"/>
                  <w:marBottom w:val="0"/>
                  <w:divBdr>
                    <w:top w:val="none" w:sz="0" w:space="0" w:color="auto"/>
                    <w:left w:val="none" w:sz="0" w:space="0" w:color="auto"/>
                    <w:bottom w:val="none" w:sz="0" w:space="0" w:color="auto"/>
                    <w:right w:val="none" w:sz="0" w:space="0" w:color="auto"/>
                  </w:divBdr>
                </w:div>
                <w:div w:id="198372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396343">
          <w:marLeft w:val="0"/>
          <w:marRight w:val="0"/>
          <w:marTop w:val="0"/>
          <w:marBottom w:val="0"/>
          <w:divBdr>
            <w:top w:val="none" w:sz="0" w:space="0" w:color="auto"/>
            <w:left w:val="none" w:sz="0" w:space="0" w:color="auto"/>
            <w:bottom w:val="none" w:sz="0" w:space="0" w:color="auto"/>
            <w:right w:val="none" w:sz="0" w:space="0" w:color="auto"/>
          </w:divBdr>
          <w:divsChild>
            <w:div w:id="504394706">
              <w:marLeft w:val="0"/>
              <w:marRight w:val="0"/>
              <w:marTop w:val="0"/>
              <w:marBottom w:val="0"/>
              <w:divBdr>
                <w:top w:val="none" w:sz="0" w:space="0" w:color="auto"/>
                <w:left w:val="none" w:sz="0" w:space="0" w:color="auto"/>
                <w:bottom w:val="none" w:sz="0" w:space="0" w:color="auto"/>
                <w:right w:val="none" w:sz="0" w:space="0" w:color="auto"/>
              </w:divBdr>
              <w:divsChild>
                <w:div w:id="1011226819">
                  <w:marLeft w:val="0"/>
                  <w:marRight w:val="0"/>
                  <w:marTop w:val="0"/>
                  <w:marBottom w:val="0"/>
                  <w:divBdr>
                    <w:top w:val="none" w:sz="0" w:space="0" w:color="auto"/>
                    <w:left w:val="none" w:sz="0" w:space="0" w:color="auto"/>
                    <w:bottom w:val="none" w:sz="0" w:space="0" w:color="auto"/>
                    <w:right w:val="none" w:sz="0" w:space="0" w:color="auto"/>
                  </w:divBdr>
                </w:div>
                <w:div w:id="197552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776659">
      <w:bodyDiv w:val="1"/>
      <w:marLeft w:val="0"/>
      <w:marRight w:val="0"/>
      <w:marTop w:val="0"/>
      <w:marBottom w:val="0"/>
      <w:divBdr>
        <w:top w:val="none" w:sz="0" w:space="0" w:color="auto"/>
        <w:left w:val="none" w:sz="0" w:space="0" w:color="auto"/>
        <w:bottom w:val="none" w:sz="0" w:space="0" w:color="auto"/>
        <w:right w:val="none" w:sz="0" w:space="0" w:color="auto"/>
      </w:divBdr>
      <w:divsChild>
        <w:div w:id="1409645981">
          <w:marLeft w:val="0"/>
          <w:marRight w:val="0"/>
          <w:marTop w:val="0"/>
          <w:marBottom w:val="0"/>
          <w:divBdr>
            <w:top w:val="none" w:sz="0" w:space="0" w:color="auto"/>
            <w:left w:val="none" w:sz="0" w:space="0" w:color="auto"/>
            <w:bottom w:val="none" w:sz="0" w:space="0" w:color="auto"/>
            <w:right w:val="none" w:sz="0" w:space="0" w:color="auto"/>
          </w:divBdr>
          <w:divsChild>
            <w:div w:id="1430350714">
              <w:marLeft w:val="0"/>
              <w:marRight w:val="0"/>
              <w:marTop w:val="0"/>
              <w:marBottom w:val="0"/>
              <w:divBdr>
                <w:top w:val="none" w:sz="0" w:space="0" w:color="auto"/>
                <w:left w:val="none" w:sz="0" w:space="0" w:color="auto"/>
                <w:bottom w:val="none" w:sz="0" w:space="0" w:color="auto"/>
                <w:right w:val="none" w:sz="0" w:space="0" w:color="auto"/>
              </w:divBdr>
              <w:divsChild>
                <w:div w:id="145228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791115">
      <w:bodyDiv w:val="1"/>
      <w:marLeft w:val="0"/>
      <w:marRight w:val="0"/>
      <w:marTop w:val="0"/>
      <w:marBottom w:val="0"/>
      <w:divBdr>
        <w:top w:val="none" w:sz="0" w:space="0" w:color="auto"/>
        <w:left w:val="none" w:sz="0" w:space="0" w:color="auto"/>
        <w:bottom w:val="none" w:sz="0" w:space="0" w:color="auto"/>
        <w:right w:val="none" w:sz="0" w:space="0" w:color="auto"/>
      </w:divBdr>
      <w:divsChild>
        <w:div w:id="1719237644">
          <w:marLeft w:val="0"/>
          <w:marRight w:val="0"/>
          <w:marTop w:val="0"/>
          <w:marBottom w:val="0"/>
          <w:divBdr>
            <w:top w:val="none" w:sz="0" w:space="0" w:color="auto"/>
            <w:left w:val="none" w:sz="0" w:space="0" w:color="auto"/>
            <w:bottom w:val="none" w:sz="0" w:space="0" w:color="auto"/>
            <w:right w:val="none" w:sz="0" w:space="0" w:color="auto"/>
          </w:divBdr>
          <w:divsChild>
            <w:div w:id="754665219">
              <w:marLeft w:val="0"/>
              <w:marRight w:val="0"/>
              <w:marTop w:val="0"/>
              <w:marBottom w:val="0"/>
              <w:divBdr>
                <w:top w:val="none" w:sz="0" w:space="0" w:color="auto"/>
                <w:left w:val="none" w:sz="0" w:space="0" w:color="auto"/>
                <w:bottom w:val="none" w:sz="0" w:space="0" w:color="auto"/>
                <w:right w:val="none" w:sz="0" w:space="0" w:color="auto"/>
              </w:divBdr>
              <w:divsChild>
                <w:div w:id="109019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172863">
      <w:bodyDiv w:val="1"/>
      <w:marLeft w:val="0"/>
      <w:marRight w:val="0"/>
      <w:marTop w:val="0"/>
      <w:marBottom w:val="0"/>
      <w:divBdr>
        <w:top w:val="none" w:sz="0" w:space="0" w:color="auto"/>
        <w:left w:val="none" w:sz="0" w:space="0" w:color="auto"/>
        <w:bottom w:val="none" w:sz="0" w:space="0" w:color="auto"/>
        <w:right w:val="none" w:sz="0" w:space="0" w:color="auto"/>
      </w:divBdr>
    </w:div>
    <w:div w:id="347946228">
      <w:bodyDiv w:val="1"/>
      <w:marLeft w:val="0"/>
      <w:marRight w:val="0"/>
      <w:marTop w:val="0"/>
      <w:marBottom w:val="0"/>
      <w:divBdr>
        <w:top w:val="none" w:sz="0" w:space="0" w:color="auto"/>
        <w:left w:val="none" w:sz="0" w:space="0" w:color="auto"/>
        <w:bottom w:val="none" w:sz="0" w:space="0" w:color="auto"/>
        <w:right w:val="none" w:sz="0" w:space="0" w:color="auto"/>
      </w:divBdr>
    </w:div>
    <w:div w:id="349570002">
      <w:bodyDiv w:val="1"/>
      <w:marLeft w:val="0"/>
      <w:marRight w:val="0"/>
      <w:marTop w:val="0"/>
      <w:marBottom w:val="0"/>
      <w:divBdr>
        <w:top w:val="none" w:sz="0" w:space="0" w:color="auto"/>
        <w:left w:val="none" w:sz="0" w:space="0" w:color="auto"/>
        <w:bottom w:val="none" w:sz="0" w:space="0" w:color="auto"/>
        <w:right w:val="none" w:sz="0" w:space="0" w:color="auto"/>
      </w:divBdr>
    </w:div>
    <w:div w:id="354766612">
      <w:bodyDiv w:val="1"/>
      <w:marLeft w:val="0"/>
      <w:marRight w:val="0"/>
      <w:marTop w:val="0"/>
      <w:marBottom w:val="0"/>
      <w:divBdr>
        <w:top w:val="none" w:sz="0" w:space="0" w:color="auto"/>
        <w:left w:val="none" w:sz="0" w:space="0" w:color="auto"/>
        <w:bottom w:val="none" w:sz="0" w:space="0" w:color="auto"/>
        <w:right w:val="none" w:sz="0" w:space="0" w:color="auto"/>
      </w:divBdr>
      <w:divsChild>
        <w:div w:id="986664192">
          <w:marLeft w:val="0"/>
          <w:marRight w:val="0"/>
          <w:marTop w:val="0"/>
          <w:marBottom w:val="0"/>
          <w:divBdr>
            <w:top w:val="none" w:sz="0" w:space="0" w:color="auto"/>
            <w:left w:val="none" w:sz="0" w:space="0" w:color="auto"/>
            <w:bottom w:val="none" w:sz="0" w:space="0" w:color="auto"/>
            <w:right w:val="none" w:sz="0" w:space="0" w:color="auto"/>
          </w:divBdr>
          <w:divsChild>
            <w:div w:id="1088884401">
              <w:marLeft w:val="0"/>
              <w:marRight w:val="0"/>
              <w:marTop w:val="0"/>
              <w:marBottom w:val="0"/>
              <w:divBdr>
                <w:top w:val="none" w:sz="0" w:space="0" w:color="auto"/>
                <w:left w:val="none" w:sz="0" w:space="0" w:color="auto"/>
                <w:bottom w:val="none" w:sz="0" w:space="0" w:color="auto"/>
                <w:right w:val="none" w:sz="0" w:space="0" w:color="auto"/>
              </w:divBdr>
              <w:divsChild>
                <w:div w:id="106003987">
                  <w:marLeft w:val="0"/>
                  <w:marRight w:val="0"/>
                  <w:marTop w:val="0"/>
                  <w:marBottom w:val="0"/>
                  <w:divBdr>
                    <w:top w:val="none" w:sz="0" w:space="0" w:color="auto"/>
                    <w:left w:val="none" w:sz="0" w:space="0" w:color="auto"/>
                    <w:bottom w:val="none" w:sz="0" w:space="0" w:color="auto"/>
                    <w:right w:val="none" w:sz="0" w:space="0" w:color="auto"/>
                  </w:divBdr>
                  <w:divsChild>
                    <w:div w:id="88448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616327">
      <w:bodyDiv w:val="1"/>
      <w:marLeft w:val="0"/>
      <w:marRight w:val="0"/>
      <w:marTop w:val="0"/>
      <w:marBottom w:val="0"/>
      <w:divBdr>
        <w:top w:val="none" w:sz="0" w:space="0" w:color="auto"/>
        <w:left w:val="none" w:sz="0" w:space="0" w:color="auto"/>
        <w:bottom w:val="none" w:sz="0" w:space="0" w:color="auto"/>
        <w:right w:val="none" w:sz="0" w:space="0" w:color="auto"/>
      </w:divBdr>
      <w:divsChild>
        <w:div w:id="7873028">
          <w:marLeft w:val="0"/>
          <w:marRight w:val="0"/>
          <w:marTop w:val="0"/>
          <w:marBottom w:val="0"/>
          <w:divBdr>
            <w:top w:val="none" w:sz="0" w:space="0" w:color="auto"/>
            <w:left w:val="none" w:sz="0" w:space="0" w:color="auto"/>
            <w:bottom w:val="none" w:sz="0" w:space="0" w:color="auto"/>
            <w:right w:val="none" w:sz="0" w:space="0" w:color="auto"/>
          </w:divBdr>
          <w:divsChild>
            <w:div w:id="583537478">
              <w:marLeft w:val="0"/>
              <w:marRight w:val="0"/>
              <w:marTop w:val="0"/>
              <w:marBottom w:val="0"/>
              <w:divBdr>
                <w:top w:val="none" w:sz="0" w:space="0" w:color="auto"/>
                <w:left w:val="none" w:sz="0" w:space="0" w:color="auto"/>
                <w:bottom w:val="none" w:sz="0" w:space="0" w:color="auto"/>
                <w:right w:val="none" w:sz="0" w:space="0" w:color="auto"/>
              </w:divBdr>
              <w:divsChild>
                <w:div w:id="199649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733678">
      <w:bodyDiv w:val="1"/>
      <w:marLeft w:val="0"/>
      <w:marRight w:val="0"/>
      <w:marTop w:val="0"/>
      <w:marBottom w:val="0"/>
      <w:divBdr>
        <w:top w:val="none" w:sz="0" w:space="0" w:color="auto"/>
        <w:left w:val="none" w:sz="0" w:space="0" w:color="auto"/>
        <w:bottom w:val="none" w:sz="0" w:space="0" w:color="auto"/>
        <w:right w:val="none" w:sz="0" w:space="0" w:color="auto"/>
      </w:divBdr>
    </w:div>
    <w:div w:id="356273269">
      <w:bodyDiv w:val="1"/>
      <w:marLeft w:val="0"/>
      <w:marRight w:val="0"/>
      <w:marTop w:val="0"/>
      <w:marBottom w:val="0"/>
      <w:divBdr>
        <w:top w:val="none" w:sz="0" w:space="0" w:color="auto"/>
        <w:left w:val="none" w:sz="0" w:space="0" w:color="auto"/>
        <w:bottom w:val="none" w:sz="0" w:space="0" w:color="auto"/>
        <w:right w:val="none" w:sz="0" w:space="0" w:color="auto"/>
      </w:divBdr>
    </w:div>
    <w:div w:id="360127577">
      <w:bodyDiv w:val="1"/>
      <w:marLeft w:val="0"/>
      <w:marRight w:val="0"/>
      <w:marTop w:val="0"/>
      <w:marBottom w:val="0"/>
      <w:divBdr>
        <w:top w:val="none" w:sz="0" w:space="0" w:color="auto"/>
        <w:left w:val="none" w:sz="0" w:space="0" w:color="auto"/>
        <w:bottom w:val="none" w:sz="0" w:space="0" w:color="auto"/>
        <w:right w:val="none" w:sz="0" w:space="0" w:color="auto"/>
      </w:divBdr>
    </w:div>
    <w:div w:id="378012272">
      <w:bodyDiv w:val="1"/>
      <w:marLeft w:val="0"/>
      <w:marRight w:val="0"/>
      <w:marTop w:val="0"/>
      <w:marBottom w:val="0"/>
      <w:divBdr>
        <w:top w:val="none" w:sz="0" w:space="0" w:color="auto"/>
        <w:left w:val="none" w:sz="0" w:space="0" w:color="auto"/>
        <w:bottom w:val="none" w:sz="0" w:space="0" w:color="auto"/>
        <w:right w:val="none" w:sz="0" w:space="0" w:color="auto"/>
      </w:divBdr>
      <w:divsChild>
        <w:div w:id="502597246">
          <w:marLeft w:val="0"/>
          <w:marRight w:val="0"/>
          <w:marTop w:val="0"/>
          <w:marBottom w:val="0"/>
          <w:divBdr>
            <w:top w:val="none" w:sz="0" w:space="0" w:color="auto"/>
            <w:left w:val="none" w:sz="0" w:space="0" w:color="auto"/>
            <w:bottom w:val="none" w:sz="0" w:space="0" w:color="auto"/>
            <w:right w:val="none" w:sz="0" w:space="0" w:color="auto"/>
          </w:divBdr>
        </w:div>
      </w:divsChild>
    </w:div>
    <w:div w:id="380324629">
      <w:bodyDiv w:val="1"/>
      <w:marLeft w:val="0"/>
      <w:marRight w:val="0"/>
      <w:marTop w:val="0"/>
      <w:marBottom w:val="0"/>
      <w:divBdr>
        <w:top w:val="none" w:sz="0" w:space="0" w:color="auto"/>
        <w:left w:val="none" w:sz="0" w:space="0" w:color="auto"/>
        <w:bottom w:val="none" w:sz="0" w:space="0" w:color="auto"/>
        <w:right w:val="none" w:sz="0" w:space="0" w:color="auto"/>
      </w:divBdr>
      <w:divsChild>
        <w:div w:id="549651617">
          <w:marLeft w:val="0"/>
          <w:marRight w:val="0"/>
          <w:marTop w:val="0"/>
          <w:marBottom w:val="0"/>
          <w:divBdr>
            <w:top w:val="none" w:sz="0" w:space="0" w:color="auto"/>
            <w:left w:val="none" w:sz="0" w:space="0" w:color="auto"/>
            <w:bottom w:val="none" w:sz="0" w:space="0" w:color="auto"/>
            <w:right w:val="none" w:sz="0" w:space="0" w:color="auto"/>
          </w:divBdr>
          <w:divsChild>
            <w:div w:id="572661956">
              <w:marLeft w:val="0"/>
              <w:marRight w:val="0"/>
              <w:marTop w:val="0"/>
              <w:marBottom w:val="0"/>
              <w:divBdr>
                <w:top w:val="none" w:sz="0" w:space="0" w:color="auto"/>
                <w:left w:val="none" w:sz="0" w:space="0" w:color="auto"/>
                <w:bottom w:val="none" w:sz="0" w:space="0" w:color="auto"/>
                <w:right w:val="none" w:sz="0" w:space="0" w:color="auto"/>
              </w:divBdr>
              <w:divsChild>
                <w:div w:id="39756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258250">
      <w:bodyDiv w:val="1"/>
      <w:marLeft w:val="0"/>
      <w:marRight w:val="0"/>
      <w:marTop w:val="0"/>
      <w:marBottom w:val="0"/>
      <w:divBdr>
        <w:top w:val="none" w:sz="0" w:space="0" w:color="auto"/>
        <w:left w:val="none" w:sz="0" w:space="0" w:color="auto"/>
        <w:bottom w:val="none" w:sz="0" w:space="0" w:color="auto"/>
        <w:right w:val="none" w:sz="0" w:space="0" w:color="auto"/>
      </w:divBdr>
      <w:divsChild>
        <w:div w:id="1581400756">
          <w:marLeft w:val="0"/>
          <w:marRight w:val="0"/>
          <w:marTop w:val="0"/>
          <w:marBottom w:val="0"/>
          <w:divBdr>
            <w:top w:val="none" w:sz="0" w:space="0" w:color="auto"/>
            <w:left w:val="none" w:sz="0" w:space="0" w:color="auto"/>
            <w:bottom w:val="none" w:sz="0" w:space="0" w:color="auto"/>
            <w:right w:val="none" w:sz="0" w:space="0" w:color="auto"/>
          </w:divBdr>
          <w:divsChild>
            <w:div w:id="315187625">
              <w:marLeft w:val="0"/>
              <w:marRight w:val="0"/>
              <w:marTop w:val="0"/>
              <w:marBottom w:val="0"/>
              <w:divBdr>
                <w:top w:val="none" w:sz="0" w:space="0" w:color="auto"/>
                <w:left w:val="none" w:sz="0" w:space="0" w:color="auto"/>
                <w:bottom w:val="none" w:sz="0" w:space="0" w:color="auto"/>
                <w:right w:val="none" w:sz="0" w:space="0" w:color="auto"/>
              </w:divBdr>
              <w:divsChild>
                <w:div w:id="1168865258">
                  <w:marLeft w:val="0"/>
                  <w:marRight w:val="0"/>
                  <w:marTop w:val="0"/>
                  <w:marBottom w:val="0"/>
                  <w:divBdr>
                    <w:top w:val="none" w:sz="0" w:space="0" w:color="auto"/>
                    <w:left w:val="none" w:sz="0" w:space="0" w:color="auto"/>
                    <w:bottom w:val="none" w:sz="0" w:space="0" w:color="auto"/>
                    <w:right w:val="none" w:sz="0" w:space="0" w:color="auto"/>
                  </w:divBdr>
                </w:div>
                <w:div w:id="2114202320">
                  <w:marLeft w:val="0"/>
                  <w:marRight w:val="0"/>
                  <w:marTop w:val="0"/>
                  <w:marBottom w:val="0"/>
                  <w:divBdr>
                    <w:top w:val="none" w:sz="0" w:space="0" w:color="auto"/>
                    <w:left w:val="none" w:sz="0" w:space="0" w:color="auto"/>
                    <w:bottom w:val="none" w:sz="0" w:space="0" w:color="auto"/>
                    <w:right w:val="none" w:sz="0" w:space="0" w:color="auto"/>
                  </w:divBdr>
                </w:div>
              </w:divsChild>
            </w:div>
            <w:div w:id="1553804891">
              <w:marLeft w:val="0"/>
              <w:marRight w:val="0"/>
              <w:marTop w:val="0"/>
              <w:marBottom w:val="0"/>
              <w:divBdr>
                <w:top w:val="none" w:sz="0" w:space="0" w:color="auto"/>
                <w:left w:val="none" w:sz="0" w:space="0" w:color="auto"/>
                <w:bottom w:val="none" w:sz="0" w:space="0" w:color="auto"/>
                <w:right w:val="none" w:sz="0" w:space="0" w:color="auto"/>
              </w:divBdr>
              <w:divsChild>
                <w:div w:id="9153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715215">
      <w:bodyDiv w:val="1"/>
      <w:marLeft w:val="0"/>
      <w:marRight w:val="0"/>
      <w:marTop w:val="0"/>
      <w:marBottom w:val="0"/>
      <w:divBdr>
        <w:top w:val="none" w:sz="0" w:space="0" w:color="auto"/>
        <w:left w:val="none" w:sz="0" w:space="0" w:color="auto"/>
        <w:bottom w:val="none" w:sz="0" w:space="0" w:color="auto"/>
        <w:right w:val="none" w:sz="0" w:space="0" w:color="auto"/>
      </w:divBdr>
      <w:divsChild>
        <w:div w:id="1630819892">
          <w:marLeft w:val="0"/>
          <w:marRight w:val="0"/>
          <w:marTop w:val="0"/>
          <w:marBottom w:val="0"/>
          <w:divBdr>
            <w:top w:val="none" w:sz="0" w:space="0" w:color="auto"/>
            <w:left w:val="none" w:sz="0" w:space="0" w:color="auto"/>
            <w:bottom w:val="none" w:sz="0" w:space="0" w:color="auto"/>
            <w:right w:val="none" w:sz="0" w:space="0" w:color="auto"/>
          </w:divBdr>
          <w:divsChild>
            <w:div w:id="274412814">
              <w:marLeft w:val="0"/>
              <w:marRight w:val="0"/>
              <w:marTop w:val="0"/>
              <w:marBottom w:val="0"/>
              <w:divBdr>
                <w:top w:val="none" w:sz="0" w:space="0" w:color="auto"/>
                <w:left w:val="none" w:sz="0" w:space="0" w:color="auto"/>
                <w:bottom w:val="none" w:sz="0" w:space="0" w:color="auto"/>
                <w:right w:val="none" w:sz="0" w:space="0" w:color="auto"/>
              </w:divBdr>
              <w:divsChild>
                <w:div w:id="26669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402219">
      <w:bodyDiv w:val="1"/>
      <w:marLeft w:val="0"/>
      <w:marRight w:val="0"/>
      <w:marTop w:val="0"/>
      <w:marBottom w:val="0"/>
      <w:divBdr>
        <w:top w:val="none" w:sz="0" w:space="0" w:color="auto"/>
        <w:left w:val="none" w:sz="0" w:space="0" w:color="auto"/>
        <w:bottom w:val="none" w:sz="0" w:space="0" w:color="auto"/>
        <w:right w:val="none" w:sz="0" w:space="0" w:color="auto"/>
      </w:divBdr>
      <w:divsChild>
        <w:div w:id="1675306771">
          <w:marLeft w:val="0"/>
          <w:marRight w:val="0"/>
          <w:marTop w:val="0"/>
          <w:marBottom w:val="0"/>
          <w:divBdr>
            <w:top w:val="none" w:sz="0" w:space="0" w:color="auto"/>
            <w:left w:val="none" w:sz="0" w:space="0" w:color="auto"/>
            <w:bottom w:val="none" w:sz="0" w:space="0" w:color="auto"/>
            <w:right w:val="none" w:sz="0" w:space="0" w:color="auto"/>
          </w:divBdr>
          <w:divsChild>
            <w:div w:id="333185260">
              <w:marLeft w:val="0"/>
              <w:marRight w:val="0"/>
              <w:marTop w:val="0"/>
              <w:marBottom w:val="0"/>
              <w:divBdr>
                <w:top w:val="none" w:sz="0" w:space="0" w:color="auto"/>
                <w:left w:val="none" w:sz="0" w:space="0" w:color="auto"/>
                <w:bottom w:val="none" w:sz="0" w:space="0" w:color="auto"/>
                <w:right w:val="none" w:sz="0" w:space="0" w:color="auto"/>
              </w:divBdr>
              <w:divsChild>
                <w:div w:id="171319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864045">
      <w:bodyDiv w:val="1"/>
      <w:marLeft w:val="0"/>
      <w:marRight w:val="0"/>
      <w:marTop w:val="0"/>
      <w:marBottom w:val="0"/>
      <w:divBdr>
        <w:top w:val="none" w:sz="0" w:space="0" w:color="auto"/>
        <w:left w:val="none" w:sz="0" w:space="0" w:color="auto"/>
        <w:bottom w:val="none" w:sz="0" w:space="0" w:color="auto"/>
        <w:right w:val="none" w:sz="0" w:space="0" w:color="auto"/>
      </w:divBdr>
    </w:div>
    <w:div w:id="420875949">
      <w:bodyDiv w:val="1"/>
      <w:marLeft w:val="0"/>
      <w:marRight w:val="0"/>
      <w:marTop w:val="0"/>
      <w:marBottom w:val="0"/>
      <w:divBdr>
        <w:top w:val="none" w:sz="0" w:space="0" w:color="auto"/>
        <w:left w:val="none" w:sz="0" w:space="0" w:color="auto"/>
        <w:bottom w:val="none" w:sz="0" w:space="0" w:color="auto"/>
        <w:right w:val="none" w:sz="0" w:space="0" w:color="auto"/>
      </w:divBdr>
    </w:div>
    <w:div w:id="420948620">
      <w:bodyDiv w:val="1"/>
      <w:marLeft w:val="0"/>
      <w:marRight w:val="0"/>
      <w:marTop w:val="0"/>
      <w:marBottom w:val="0"/>
      <w:divBdr>
        <w:top w:val="none" w:sz="0" w:space="0" w:color="auto"/>
        <w:left w:val="none" w:sz="0" w:space="0" w:color="auto"/>
        <w:bottom w:val="none" w:sz="0" w:space="0" w:color="auto"/>
        <w:right w:val="none" w:sz="0" w:space="0" w:color="auto"/>
      </w:divBdr>
      <w:divsChild>
        <w:div w:id="613371052">
          <w:marLeft w:val="360"/>
          <w:marRight w:val="0"/>
          <w:marTop w:val="0"/>
          <w:marBottom w:val="0"/>
          <w:divBdr>
            <w:top w:val="none" w:sz="0" w:space="0" w:color="auto"/>
            <w:left w:val="none" w:sz="0" w:space="0" w:color="auto"/>
            <w:bottom w:val="none" w:sz="0" w:space="0" w:color="auto"/>
            <w:right w:val="none" w:sz="0" w:space="0" w:color="auto"/>
          </w:divBdr>
        </w:div>
        <w:div w:id="637419935">
          <w:marLeft w:val="360"/>
          <w:marRight w:val="0"/>
          <w:marTop w:val="0"/>
          <w:marBottom w:val="0"/>
          <w:divBdr>
            <w:top w:val="none" w:sz="0" w:space="0" w:color="auto"/>
            <w:left w:val="none" w:sz="0" w:space="0" w:color="auto"/>
            <w:bottom w:val="none" w:sz="0" w:space="0" w:color="auto"/>
            <w:right w:val="none" w:sz="0" w:space="0" w:color="auto"/>
          </w:divBdr>
        </w:div>
        <w:div w:id="758792074">
          <w:marLeft w:val="360"/>
          <w:marRight w:val="0"/>
          <w:marTop w:val="0"/>
          <w:marBottom w:val="0"/>
          <w:divBdr>
            <w:top w:val="none" w:sz="0" w:space="0" w:color="auto"/>
            <w:left w:val="none" w:sz="0" w:space="0" w:color="auto"/>
            <w:bottom w:val="none" w:sz="0" w:space="0" w:color="auto"/>
            <w:right w:val="none" w:sz="0" w:space="0" w:color="auto"/>
          </w:divBdr>
        </w:div>
        <w:div w:id="1701739506">
          <w:marLeft w:val="360"/>
          <w:marRight w:val="0"/>
          <w:marTop w:val="0"/>
          <w:marBottom w:val="0"/>
          <w:divBdr>
            <w:top w:val="none" w:sz="0" w:space="0" w:color="auto"/>
            <w:left w:val="none" w:sz="0" w:space="0" w:color="auto"/>
            <w:bottom w:val="none" w:sz="0" w:space="0" w:color="auto"/>
            <w:right w:val="none" w:sz="0" w:space="0" w:color="auto"/>
          </w:divBdr>
        </w:div>
      </w:divsChild>
    </w:div>
    <w:div w:id="425422275">
      <w:bodyDiv w:val="1"/>
      <w:marLeft w:val="0"/>
      <w:marRight w:val="0"/>
      <w:marTop w:val="0"/>
      <w:marBottom w:val="0"/>
      <w:divBdr>
        <w:top w:val="none" w:sz="0" w:space="0" w:color="auto"/>
        <w:left w:val="none" w:sz="0" w:space="0" w:color="auto"/>
        <w:bottom w:val="none" w:sz="0" w:space="0" w:color="auto"/>
        <w:right w:val="none" w:sz="0" w:space="0" w:color="auto"/>
      </w:divBdr>
      <w:divsChild>
        <w:div w:id="912204710">
          <w:marLeft w:val="0"/>
          <w:marRight w:val="0"/>
          <w:marTop w:val="0"/>
          <w:marBottom w:val="0"/>
          <w:divBdr>
            <w:top w:val="none" w:sz="0" w:space="0" w:color="auto"/>
            <w:left w:val="none" w:sz="0" w:space="0" w:color="auto"/>
            <w:bottom w:val="none" w:sz="0" w:space="0" w:color="auto"/>
            <w:right w:val="none" w:sz="0" w:space="0" w:color="auto"/>
          </w:divBdr>
          <w:divsChild>
            <w:div w:id="398866414">
              <w:marLeft w:val="0"/>
              <w:marRight w:val="0"/>
              <w:marTop w:val="0"/>
              <w:marBottom w:val="0"/>
              <w:divBdr>
                <w:top w:val="none" w:sz="0" w:space="0" w:color="auto"/>
                <w:left w:val="none" w:sz="0" w:space="0" w:color="auto"/>
                <w:bottom w:val="none" w:sz="0" w:space="0" w:color="auto"/>
                <w:right w:val="none" w:sz="0" w:space="0" w:color="auto"/>
              </w:divBdr>
              <w:divsChild>
                <w:div w:id="809786065">
                  <w:marLeft w:val="0"/>
                  <w:marRight w:val="0"/>
                  <w:marTop w:val="0"/>
                  <w:marBottom w:val="0"/>
                  <w:divBdr>
                    <w:top w:val="none" w:sz="0" w:space="0" w:color="auto"/>
                    <w:left w:val="none" w:sz="0" w:space="0" w:color="auto"/>
                    <w:bottom w:val="none" w:sz="0" w:space="0" w:color="auto"/>
                    <w:right w:val="none" w:sz="0" w:space="0" w:color="auto"/>
                  </w:divBdr>
                  <w:divsChild>
                    <w:div w:id="57979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519043">
      <w:bodyDiv w:val="1"/>
      <w:marLeft w:val="0"/>
      <w:marRight w:val="0"/>
      <w:marTop w:val="0"/>
      <w:marBottom w:val="0"/>
      <w:divBdr>
        <w:top w:val="none" w:sz="0" w:space="0" w:color="auto"/>
        <w:left w:val="none" w:sz="0" w:space="0" w:color="auto"/>
        <w:bottom w:val="none" w:sz="0" w:space="0" w:color="auto"/>
        <w:right w:val="none" w:sz="0" w:space="0" w:color="auto"/>
      </w:divBdr>
    </w:div>
    <w:div w:id="441193374">
      <w:bodyDiv w:val="1"/>
      <w:marLeft w:val="0"/>
      <w:marRight w:val="0"/>
      <w:marTop w:val="0"/>
      <w:marBottom w:val="0"/>
      <w:divBdr>
        <w:top w:val="none" w:sz="0" w:space="0" w:color="auto"/>
        <w:left w:val="none" w:sz="0" w:space="0" w:color="auto"/>
        <w:bottom w:val="none" w:sz="0" w:space="0" w:color="auto"/>
        <w:right w:val="none" w:sz="0" w:space="0" w:color="auto"/>
      </w:divBdr>
    </w:div>
    <w:div w:id="444496275">
      <w:bodyDiv w:val="1"/>
      <w:marLeft w:val="0"/>
      <w:marRight w:val="0"/>
      <w:marTop w:val="0"/>
      <w:marBottom w:val="0"/>
      <w:divBdr>
        <w:top w:val="none" w:sz="0" w:space="0" w:color="auto"/>
        <w:left w:val="none" w:sz="0" w:space="0" w:color="auto"/>
        <w:bottom w:val="none" w:sz="0" w:space="0" w:color="auto"/>
        <w:right w:val="none" w:sz="0" w:space="0" w:color="auto"/>
      </w:divBdr>
      <w:divsChild>
        <w:div w:id="1238052955">
          <w:marLeft w:val="0"/>
          <w:marRight w:val="0"/>
          <w:marTop w:val="0"/>
          <w:marBottom w:val="0"/>
          <w:divBdr>
            <w:top w:val="none" w:sz="0" w:space="0" w:color="auto"/>
            <w:left w:val="none" w:sz="0" w:space="0" w:color="auto"/>
            <w:bottom w:val="none" w:sz="0" w:space="0" w:color="auto"/>
            <w:right w:val="none" w:sz="0" w:space="0" w:color="auto"/>
          </w:divBdr>
          <w:divsChild>
            <w:div w:id="1883637315">
              <w:marLeft w:val="0"/>
              <w:marRight w:val="0"/>
              <w:marTop w:val="0"/>
              <w:marBottom w:val="0"/>
              <w:divBdr>
                <w:top w:val="none" w:sz="0" w:space="0" w:color="auto"/>
                <w:left w:val="none" w:sz="0" w:space="0" w:color="auto"/>
                <w:bottom w:val="none" w:sz="0" w:space="0" w:color="auto"/>
                <w:right w:val="none" w:sz="0" w:space="0" w:color="auto"/>
              </w:divBdr>
              <w:divsChild>
                <w:div w:id="603999073">
                  <w:marLeft w:val="0"/>
                  <w:marRight w:val="0"/>
                  <w:marTop w:val="0"/>
                  <w:marBottom w:val="0"/>
                  <w:divBdr>
                    <w:top w:val="none" w:sz="0" w:space="0" w:color="auto"/>
                    <w:left w:val="none" w:sz="0" w:space="0" w:color="auto"/>
                    <w:bottom w:val="none" w:sz="0" w:space="0" w:color="auto"/>
                    <w:right w:val="none" w:sz="0" w:space="0" w:color="auto"/>
                  </w:divBdr>
                  <w:divsChild>
                    <w:div w:id="164661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135493">
      <w:bodyDiv w:val="1"/>
      <w:marLeft w:val="0"/>
      <w:marRight w:val="0"/>
      <w:marTop w:val="0"/>
      <w:marBottom w:val="0"/>
      <w:divBdr>
        <w:top w:val="none" w:sz="0" w:space="0" w:color="auto"/>
        <w:left w:val="none" w:sz="0" w:space="0" w:color="auto"/>
        <w:bottom w:val="none" w:sz="0" w:space="0" w:color="auto"/>
        <w:right w:val="none" w:sz="0" w:space="0" w:color="auto"/>
      </w:divBdr>
      <w:divsChild>
        <w:div w:id="138352782">
          <w:marLeft w:val="0"/>
          <w:marRight w:val="0"/>
          <w:marTop w:val="0"/>
          <w:marBottom w:val="0"/>
          <w:divBdr>
            <w:top w:val="none" w:sz="0" w:space="0" w:color="auto"/>
            <w:left w:val="none" w:sz="0" w:space="0" w:color="auto"/>
            <w:bottom w:val="none" w:sz="0" w:space="0" w:color="auto"/>
            <w:right w:val="none" w:sz="0" w:space="0" w:color="auto"/>
          </w:divBdr>
          <w:divsChild>
            <w:div w:id="1894727254">
              <w:marLeft w:val="0"/>
              <w:marRight w:val="0"/>
              <w:marTop w:val="0"/>
              <w:marBottom w:val="0"/>
              <w:divBdr>
                <w:top w:val="none" w:sz="0" w:space="0" w:color="auto"/>
                <w:left w:val="none" w:sz="0" w:space="0" w:color="auto"/>
                <w:bottom w:val="none" w:sz="0" w:space="0" w:color="auto"/>
                <w:right w:val="none" w:sz="0" w:space="0" w:color="auto"/>
              </w:divBdr>
              <w:divsChild>
                <w:div w:id="1159424160">
                  <w:marLeft w:val="0"/>
                  <w:marRight w:val="0"/>
                  <w:marTop w:val="0"/>
                  <w:marBottom w:val="0"/>
                  <w:divBdr>
                    <w:top w:val="none" w:sz="0" w:space="0" w:color="auto"/>
                    <w:left w:val="none" w:sz="0" w:space="0" w:color="auto"/>
                    <w:bottom w:val="none" w:sz="0" w:space="0" w:color="auto"/>
                    <w:right w:val="none" w:sz="0" w:space="0" w:color="auto"/>
                  </w:divBdr>
                  <w:divsChild>
                    <w:div w:id="31236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178172">
      <w:bodyDiv w:val="1"/>
      <w:marLeft w:val="0"/>
      <w:marRight w:val="0"/>
      <w:marTop w:val="0"/>
      <w:marBottom w:val="0"/>
      <w:divBdr>
        <w:top w:val="none" w:sz="0" w:space="0" w:color="auto"/>
        <w:left w:val="none" w:sz="0" w:space="0" w:color="auto"/>
        <w:bottom w:val="none" w:sz="0" w:space="0" w:color="auto"/>
        <w:right w:val="none" w:sz="0" w:space="0" w:color="auto"/>
      </w:divBdr>
      <w:divsChild>
        <w:div w:id="1588423711">
          <w:marLeft w:val="0"/>
          <w:marRight w:val="0"/>
          <w:marTop w:val="0"/>
          <w:marBottom w:val="0"/>
          <w:divBdr>
            <w:top w:val="none" w:sz="0" w:space="0" w:color="auto"/>
            <w:left w:val="none" w:sz="0" w:space="0" w:color="auto"/>
            <w:bottom w:val="none" w:sz="0" w:space="0" w:color="auto"/>
            <w:right w:val="none" w:sz="0" w:space="0" w:color="auto"/>
          </w:divBdr>
          <w:divsChild>
            <w:div w:id="1047535981">
              <w:marLeft w:val="0"/>
              <w:marRight w:val="0"/>
              <w:marTop w:val="0"/>
              <w:marBottom w:val="0"/>
              <w:divBdr>
                <w:top w:val="none" w:sz="0" w:space="0" w:color="auto"/>
                <w:left w:val="none" w:sz="0" w:space="0" w:color="auto"/>
                <w:bottom w:val="none" w:sz="0" w:space="0" w:color="auto"/>
                <w:right w:val="none" w:sz="0" w:space="0" w:color="auto"/>
              </w:divBdr>
              <w:divsChild>
                <w:div w:id="135683420">
                  <w:marLeft w:val="0"/>
                  <w:marRight w:val="0"/>
                  <w:marTop w:val="0"/>
                  <w:marBottom w:val="0"/>
                  <w:divBdr>
                    <w:top w:val="none" w:sz="0" w:space="0" w:color="auto"/>
                    <w:left w:val="none" w:sz="0" w:space="0" w:color="auto"/>
                    <w:bottom w:val="none" w:sz="0" w:space="0" w:color="auto"/>
                    <w:right w:val="none" w:sz="0" w:space="0" w:color="auto"/>
                  </w:divBdr>
                </w:div>
              </w:divsChild>
            </w:div>
            <w:div w:id="1236014425">
              <w:marLeft w:val="0"/>
              <w:marRight w:val="0"/>
              <w:marTop w:val="0"/>
              <w:marBottom w:val="0"/>
              <w:divBdr>
                <w:top w:val="none" w:sz="0" w:space="0" w:color="auto"/>
                <w:left w:val="none" w:sz="0" w:space="0" w:color="auto"/>
                <w:bottom w:val="none" w:sz="0" w:space="0" w:color="auto"/>
                <w:right w:val="none" w:sz="0" w:space="0" w:color="auto"/>
              </w:divBdr>
              <w:divsChild>
                <w:div w:id="105790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884513">
      <w:bodyDiv w:val="1"/>
      <w:marLeft w:val="0"/>
      <w:marRight w:val="0"/>
      <w:marTop w:val="0"/>
      <w:marBottom w:val="0"/>
      <w:divBdr>
        <w:top w:val="none" w:sz="0" w:space="0" w:color="auto"/>
        <w:left w:val="none" w:sz="0" w:space="0" w:color="auto"/>
        <w:bottom w:val="none" w:sz="0" w:space="0" w:color="auto"/>
        <w:right w:val="none" w:sz="0" w:space="0" w:color="auto"/>
      </w:divBdr>
    </w:div>
    <w:div w:id="468940146">
      <w:bodyDiv w:val="1"/>
      <w:marLeft w:val="0"/>
      <w:marRight w:val="0"/>
      <w:marTop w:val="0"/>
      <w:marBottom w:val="0"/>
      <w:divBdr>
        <w:top w:val="none" w:sz="0" w:space="0" w:color="auto"/>
        <w:left w:val="none" w:sz="0" w:space="0" w:color="auto"/>
        <w:bottom w:val="none" w:sz="0" w:space="0" w:color="auto"/>
        <w:right w:val="none" w:sz="0" w:space="0" w:color="auto"/>
      </w:divBdr>
    </w:div>
    <w:div w:id="470557006">
      <w:bodyDiv w:val="1"/>
      <w:marLeft w:val="0"/>
      <w:marRight w:val="0"/>
      <w:marTop w:val="0"/>
      <w:marBottom w:val="0"/>
      <w:divBdr>
        <w:top w:val="none" w:sz="0" w:space="0" w:color="auto"/>
        <w:left w:val="none" w:sz="0" w:space="0" w:color="auto"/>
        <w:bottom w:val="none" w:sz="0" w:space="0" w:color="auto"/>
        <w:right w:val="none" w:sz="0" w:space="0" w:color="auto"/>
      </w:divBdr>
      <w:divsChild>
        <w:div w:id="2120679950">
          <w:marLeft w:val="360"/>
          <w:marRight w:val="0"/>
          <w:marTop w:val="200"/>
          <w:marBottom w:val="0"/>
          <w:divBdr>
            <w:top w:val="none" w:sz="0" w:space="0" w:color="auto"/>
            <w:left w:val="none" w:sz="0" w:space="0" w:color="auto"/>
            <w:bottom w:val="none" w:sz="0" w:space="0" w:color="auto"/>
            <w:right w:val="none" w:sz="0" w:space="0" w:color="auto"/>
          </w:divBdr>
        </w:div>
        <w:div w:id="1672876746">
          <w:marLeft w:val="1080"/>
          <w:marRight w:val="0"/>
          <w:marTop w:val="100"/>
          <w:marBottom w:val="0"/>
          <w:divBdr>
            <w:top w:val="none" w:sz="0" w:space="0" w:color="auto"/>
            <w:left w:val="none" w:sz="0" w:space="0" w:color="auto"/>
            <w:bottom w:val="none" w:sz="0" w:space="0" w:color="auto"/>
            <w:right w:val="none" w:sz="0" w:space="0" w:color="auto"/>
          </w:divBdr>
        </w:div>
        <w:div w:id="1338385993">
          <w:marLeft w:val="1080"/>
          <w:marRight w:val="0"/>
          <w:marTop w:val="100"/>
          <w:marBottom w:val="0"/>
          <w:divBdr>
            <w:top w:val="none" w:sz="0" w:space="0" w:color="auto"/>
            <w:left w:val="none" w:sz="0" w:space="0" w:color="auto"/>
            <w:bottom w:val="none" w:sz="0" w:space="0" w:color="auto"/>
            <w:right w:val="none" w:sz="0" w:space="0" w:color="auto"/>
          </w:divBdr>
        </w:div>
        <w:div w:id="2125146104">
          <w:marLeft w:val="1080"/>
          <w:marRight w:val="0"/>
          <w:marTop w:val="100"/>
          <w:marBottom w:val="0"/>
          <w:divBdr>
            <w:top w:val="none" w:sz="0" w:space="0" w:color="auto"/>
            <w:left w:val="none" w:sz="0" w:space="0" w:color="auto"/>
            <w:bottom w:val="none" w:sz="0" w:space="0" w:color="auto"/>
            <w:right w:val="none" w:sz="0" w:space="0" w:color="auto"/>
          </w:divBdr>
        </w:div>
        <w:div w:id="1737168594">
          <w:marLeft w:val="1080"/>
          <w:marRight w:val="0"/>
          <w:marTop w:val="100"/>
          <w:marBottom w:val="0"/>
          <w:divBdr>
            <w:top w:val="none" w:sz="0" w:space="0" w:color="auto"/>
            <w:left w:val="none" w:sz="0" w:space="0" w:color="auto"/>
            <w:bottom w:val="none" w:sz="0" w:space="0" w:color="auto"/>
            <w:right w:val="none" w:sz="0" w:space="0" w:color="auto"/>
          </w:divBdr>
        </w:div>
        <w:div w:id="72824994">
          <w:marLeft w:val="1080"/>
          <w:marRight w:val="0"/>
          <w:marTop w:val="100"/>
          <w:marBottom w:val="0"/>
          <w:divBdr>
            <w:top w:val="none" w:sz="0" w:space="0" w:color="auto"/>
            <w:left w:val="none" w:sz="0" w:space="0" w:color="auto"/>
            <w:bottom w:val="none" w:sz="0" w:space="0" w:color="auto"/>
            <w:right w:val="none" w:sz="0" w:space="0" w:color="auto"/>
          </w:divBdr>
        </w:div>
        <w:div w:id="552084588">
          <w:marLeft w:val="1080"/>
          <w:marRight w:val="0"/>
          <w:marTop w:val="100"/>
          <w:marBottom w:val="0"/>
          <w:divBdr>
            <w:top w:val="none" w:sz="0" w:space="0" w:color="auto"/>
            <w:left w:val="none" w:sz="0" w:space="0" w:color="auto"/>
            <w:bottom w:val="none" w:sz="0" w:space="0" w:color="auto"/>
            <w:right w:val="none" w:sz="0" w:space="0" w:color="auto"/>
          </w:divBdr>
        </w:div>
        <w:div w:id="966007418">
          <w:marLeft w:val="1080"/>
          <w:marRight w:val="0"/>
          <w:marTop w:val="100"/>
          <w:marBottom w:val="0"/>
          <w:divBdr>
            <w:top w:val="none" w:sz="0" w:space="0" w:color="auto"/>
            <w:left w:val="none" w:sz="0" w:space="0" w:color="auto"/>
            <w:bottom w:val="none" w:sz="0" w:space="0" w:color="auto"/>
            <w:right w:val="none" w:sz="0" w:space="0" w:color="auto"/>
          </w:divBdr>
        </w:div>
        <w:div w:id="863203574">
          <w:marLeft w:val="1080"/>
          <w:marRight w:val="0"/>
          <w:marTop w:val="100"/>
          <w:marBottom w:val="0"/>
          <w:divBdr>
            <w:top w:val="none" w:sz="0" w:space="0" w:color="auto"/>
            <w:left w:val="none" w:sz="0" w:space="0" w:color="auto"/>
            <w:bottom w:val="none" w:sz="0" w:space="0" w:color="auto"/>
            <w:right w:val="none" w:sz="0" w:space="0" w:color="auto"/>
          </w:divBdr>
        </w:div>
        <w:div w:id="104925900">
          <w:marLeft w:val="1080"/>
          <w:marRight w:val="0"/>
          <w:marTop w:val="100"/>
          <w:marBottom w:val="0"/>
          <w:divBdr>
            <w:top w:val="none" w:sz="0" w:space="0" w:color="auto"/>
            <w:left w:val="none" w:sz="0" w:space="0" w:color="auto"/>
            <w:bottom w:val="none" w:sz="0" w:space="0" w:color="auto"/>
            <w:right w:val="none" w:sz="0" w:space="0" w:color="auto"/>
          </w:divBdr>
        </w:div>
        <w:div w:id="105929536">
          <w:marLeft w:val="1080"/>
          <w:marRight w:val="0"/>
          <w:marTop w:val="100"/>
          <w:marBottom w:val="0"/>
          <w:divBdr>
            <w:top w:val="none" w:sz="0" w:space="0" w:color="auto"/>
            <w:left w:val="none" w:sz="0" w:space="0" w:color="auto"/>
            <w:bottom w:val="none" w:sz="0" w:space="0" w:color="auto"/>
            <w:right w:val="none" w:sz="0" w:space="0" w:color="auto"/>
          </w:divBdr>
        </w:div>
        <w:div w:id="2133941842">
          <w:marLeft w:val="1080"/>
          <w:marRight w:val="0"/>
          <w:marTop w:val="100"/>
          <w:marBottom w:val="0"/>
          <w:divBdr>
            <w:top w:val="none" w:sz="0" w:space="0" w:color="auto"/>
            <w:left w:val="none" w:sz="0" w:space="0" w:color="auto"/>
            <w:bottom w:val="none" w:sz="0" w:space="0" w:color="auto"/>
            <w:right w:val="none" w:sz="0" w:space="0" w:color="auto"/>
          </w:divBdr>
        </w:div>
        <w:div w:id="1768844023">
          <w:marLeft w:val="1080"/>
          <w:marRight w:val="0"/>
          <w:marTop w:val="100"/>
          <w:marBottom w:val="0"/>
          <w:divBdr>
            <w:top w:val="none" w:sz="0" w:space="0" w:color="auto"/>
            <w:left w:val="none" w:sz="0" w:space="0" w:color="auto"/>
            <w:bottom w:val="none" w:sz="0" w:space="0" w:color="auto"/>
            <w:right w:val="none" w:sz="0" w:space="0" w:color="auto"/>
          </w:divBdr>
        </w:div>
      </w:divsChild>
    </w:div>
    <w:div w:id="474026182">
      <w:bodyDiv w:val="1"/>
      <w:marLeft w:val="0"/>
      <w:marRight w:val="0"/>
      <w:marTop w:val="0"/>
      <w:marBottom w:val="0"/>
      <w:divBdr>
        <w:top w:val="none" w:sz="0" w:space="0" w:color="auto"/>
        <w:left w:val="none" w:sz="0" w:space="0" w:color="auto"/>
        <w:bottom w:val="none" w:sz="0" w:space="0" w:color="auto"/>
        <w:right w:val="none" w:sz="0" w:space="0" w:color="auto"/>
      </w:divBdr>
      <w:divsChild>
        <w:div w:id="1289706026">
          <w:marLeft w:val="0"/>
          <w:marRight w:val="0"/>
          <w:marTop w:val="0"/>
          <w:marBottom w:val="0"/>
          <w:divBdr>
            <w:top w:val="none" w:sz="0" w:space="0" w:color="auto"/>
            <w:left w:val="none" w:sz="0" w:space="0" w:color="auto"/>
            <w:bottom w:val="none" w:sz="0" w:space="0" w:color="auto"/>
            <w:right w:val="none" w:sz="0" w:space="0" w:color="auto"/>
          </w:divBdr>
          <w:divsChild>
            <w:div w:id="2061706778">
              <w:marLeft w:val="0"/>
              <w:marRight w:val="0"/>
              <w:marTop w:val="0"/>
              <w:marBottom w:val="0"/>
              <w:divBdr>
                <w:top w:val="none" w:sz="0" w:space="0" w:color="auto"/>
                <w:left w:val="none" w:sz="0" w:space="0" w:color="auto"/>
                <w:bottom w:val="none" w:sz="0" w:space="0" w:color="auto"/>
                <w:right w:val="none" w:sz="0" w:space="0" w:color="auto"/>
              </w:divBdr>
              <w:divsChild>
                <w:div w:id="137403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276598">
      <w:bodyDiv w:val="1"/>
      <w:marLeft w:val="0"/>
      <w:marRight w:val="0"/>
      <w:marTop w:val="0"/>
      <w:marBottom w:val="0"/>
      <w:divBdr>
        <w:top w:val="none" w:sz="0" w:space="0" w:color="auto"/>
        <w:left w:val="none" w:sz="0" w:space="0" w:color="auto"/>
        <w:bottom w:val="none" w:sz="0" w:space="0" w:color="auto"/>
        <w:right w:val="none" w:sz="0" w:space="0" w:color="auto"/>
      </w:divBdr>
      <w:divsChild>
        <w:div w:id="1298145793">
          <w:marLeft w:val="0"/>
          <w:marRight w:val="0"/>
          <w:marTop w:val="0"/>
          <w:marBottom w:val="0"/>
          <w:divBdr>
            <w:top w:val="none" w:sz="0" w:space="0" w:color="auto"/>
            <w:left w:val="none" w:sz="0" w:space="0" w:color="auto"/>
            <w:bottom w:val="none" w:sz="0" w:space="0" w:color="auto"/>
            <w:right w:val="none" w:sz="0" w:space="0" w:color="auto"/>
          </w:divBdr>
          <w:divsChild>
            <w:div w:id="697509783">
              <w:marLeft w:val="0"/>
              <w:marRight w:val="0"/>
              <w:marTop w:val="0"/>
              <w:marBottom w:val="0"/>
              <w:divBdr>
                <w:top w:val="none" w:sz="0" w:space="0" w:color="auto"/>
                <w:left w:val="none" w:sz="0" w:space="0" w:color="auto"/>
                <w:bottom w:val="none" w:sz="0" w:space="0" w:color="auto"/>
                <w:right w:val="none" w:sz="0" w:space="0" w:color="auto"/>
              </w:divBdr>
              <w:divsChild>
                <w:div w:id="123712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625622">
      <w:bodyDiv w:val="1"/>
      <w:marLeft w:val="0"/>
      <w:marRight w:val="0"/>
      <w:marTop w:val="0"/>
      <w:marBottom w:val="0"/>
      <w:divBdr>
        <w:top w:val="none" w:sz="0" w:space="0" w:color="auto"/>
        <w:left w:val="none" w:sz="0" w:space="0" w:color="auto"/>
        <w:bottom w:val="none" w:sz="0" w:space="0" w:color="auto"/>
        <w:right w:val="none" w:sz="0" w:space="0" w:color="auto"/>
      </w:divBdr>
      <w:divsChild>
        <w:div w:id="288710873">
          <w:marLeft w:val="0"/>
          <w:marRight w:val="0"/>
          <w:marTop w:val="0"/>
          <w:marBottom w:val="0"/>
          <w:divBdr>
            <w:top w:val="none" w:sz="0" w:space="0" w:color="auto"/>
            <w:left w:val="none" w:sz="0" w:space="0" w:color="auto"/>
            <w:bottom w:val="none" w:sz="0" w:space="0" w:color="auto"/>
            <w:right w:val="none" w:sz="0" w:space="0" w:color="auto"/>
          </w:divBdr>
          <w:divsChild>
            <w:div w:id="562720966">
              <w:marLeft w:val="0"/>
              <w:marRight w:val="0"/>
              <w:marTop w:val="0"/>
              <w:marBottom w:val="0"/>
              <w:divBdr>
                <w:top w:val="none" w:sz="0" w:space="0" w:color="auto"/>
                <w:left w:val="none" w:sz="0" w:space="0" w:color="auto"/>
                <w:bottom w:val="none" w:sz="0" w:space="0" w:color="auto"/>
                <w:right w:val="none" w:sz="0" w:space="0" w:color="auto"/>
              </w:divBdr>
              <w:divsChild>
                <w:div w:id="157739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55145">
      <w:bodyDiv w:val="1"/>
      <w:marLeft w:val="0"/>
      <w:marRight w:val="0"/>
      <w:marTop w:val="0"/>
      <w:marBottom w:val="0"/>
      <w:divBdr>
        <w:top w:val="none" w:sz="0" w:space="0" w:color="auto"/>
        <w:left w:val="none" w:sz="0" w:space="0" w:color="auto"/>
        <w:bottom w:val="none" w:sz="0" w:space="0" w:color="auto"/>
        <w:right w:val="none" w:sz="0" w:space="0" w:color="auto"/>
      </w:divBdr>
    </w:div>
    <w:div w:id="500002984">
      <w:bodyDiv w:val="1"/>
      <w:marLeft w:val="0"/>
      <w:marRight w:val="0"/>
      <w:marTop w:val="0"/>
      <w:marBottom w:val="0"/>
      <w:divBdr>
        <w:top w:val="none" w:sz="0" w:space="0" w:color="auto"/>
        <w:left w:val="none" w:sz="0" w:space="0" w:color="auto"/>
        <w:bottom w:val="none" w:sz="0" w:space="0" w:color="auto"/>
        <w:right w:val="none" w:sz="0" w:space="0" w:color="auto"/>
      </w:divBdr>
    </w:div>
    <w:div w:id="500656259">
      <w:bodyDiv w:val="1"/>
      <w:marLeft w:val="0"/>
      <w:marRight w:val="0"/>
      <w:marTop w:val="0"/>
      <w:marBottom w:val="0"/>
      <w:divBdr>
        <w:top w:val="none" w:sz="0" w:space="0" w:color="auto"/>
        <w:left w:val="none" w:sz="0" w:space="0" w:color="auto"/>
        <w:bottom w:val="none" w:sz="0" w:space="0" w:color="auto"/>
        <w:right w:val="none" w:sz="0" w:space="0" w:color="auto"/>
      </w:divBdr>
    </w:div>
    <w:div w:id="505365803">
      <w:bodyDiv w:val="1"/>
      <w:marLeft w:val="0"/>
      <w:marRight w:val="0"/>
      <w:marTop w:val="0"/>
      <w:marBottom w:val="0"/>
      <w:divBdr>
        <w:top w:val="none" w:sz="0" w:space="0" w:color="auto"/>
        <w:left w:val="none" w:sz="0" w:space="0" w:color="auto"/>
        <w:bottom w:val="none" w:sz="0" w:space="0" w:color="auto"/>
        <w:right w:val="none" w:sz="0" w:space="0" w:color="auto"/>
      </w:divBdr>
    </w:div>
    <w:div w:id="507716867">
      <w:bodyDiv w:val="1"/>
      <w:marLeft w:val="0"/>
      <w:marRight w:val="0"/>
      <w:marTop w:val="0"/>
      <w:marBottom w:val="0"/>
      <w:divBdr>
        <w:top w:val="none" w:sz="0" w:space="0" w:color="auto"/>
        <w:left w:val="none" w:sz="0" w:space="0" w:color="auto"/>
        <w:bottom w:val="none" w:sz="0" w:space="0" w:color="auto"/>
        <w:right w:val="none" w:sz="0" w:space="0" w:color="auto"/>
      </w:divBdr>
    </w:div>
    <w:div w:id="516430197">
      <w:bodyDiv w:val="1"/>
      <w:marLeft w:val="0"/>
      <w:marRight w:val="0"/>
      <w:marTop w:val="0"/>
      <w:marBottom w:val="0"/>
      <w:divBdr>
        <w:top w:val="none" w:sz="0" w:space="0" w:color="auto"/>
        <w:left w:val="none" w:sz="0" w:space="0" w:color="auto"/>
        <w:bottom w:val="none" w:sz="0" w:space="0" w:color="auto"/>
        <w:right w:val="none" w:sz="0" w:space="0" w:color="auto"/>
      </w:divBdr>
      <w:divsChild>
        <w:div w:id="198473460">
          <w:marLeft w:val="0"/>
          <w:marRight w:val="0"/>
          <w:marTop w:val="0"/>
          <w:marBottom w:val="0"/>
          <w:divBdr>
            <w:top w:val="none" w:sz="0" w:space="0" w:color="auto"/>
            <w:left w:val="none" w:sz="0" w:space="0" w:color="auto"/>
            <w:bottom w:val="none" w:sz="0" w:space="0" w:color="auto"/>
            <w:right w:val="none" w:sz="0" w:space="0" w:color="auto"/>
          </w:divBdr>
          <w:divsChild>
            <w:div w:id="1843086114">
              <w:marLeft w:val="0"/>
              <w:marRight w:val="0"/>
              <w:marTop w:val="0"/>
              <w:marBottom w:val="0"/>
              <w:divBdr>
                <w:top w:val="none" w:sz="0" w:space="0" w:color="auto"/>
                <w:left w:val="none" w:sz="0" w:space="0" w:color="auto"/>
                <w:bottom w:val="none" w:sz="0" w:space="0" w:color="auto"/>
                <w:right w:val="none" w:sz="0" w:space="0" w:color="auto"/>
              </w:divBdr>
              <w:divsChild>
                <w:div w:id="52062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906921">
      <w:bodyDiv w:val="1"/>
      <w:marLeft w:val="0"/>
      <w:marRight w:val="0"/>
      <w:marTop w:val="0"/>
      <w:marBottom w:val="0"/>
      <w:divBdr>
        <w:top w:val="none" w:sz="0" w:space="0" w:color="auto"/>
        <w:left w:val="none" w:sz="0" w:space="0" w:color="auto"/>
        <w:bottom w:val="none" w:sz="0" w:space="0" w:color="auto"/>
        <w:right w:val="none" w:sz="0" w:space="0" w:color="auto"/>
      </w:divBdr>
      <w:divsChild>
        <w:div w:id="1615867214">
          <w:marLeft w:val="0"/>
          <w:marRight w:val="0"/>
          <w:marTop w:val="0"/>
          <w:marBottom w:val="0"/>
          <w:divBdr>
            <w:top w:val="none" w:sz="0" w:space="0" w:color="auto"/>
            <w:left w:val="none" w:sz="0" w:space="0" w:color="auto"/>
            <w:bottom w:val="none" w:sz="0" w:space="0" w:color="auto"/>
            <w:right w:val="none" w:sz="0" w:space="0" w:color="auto"/>
          </w:divBdr>
          <w:divsChild>
            <w:div w:id="651562311">
              <w:marLeft w:val="0"/>
              <w:marRight w:val="0"/>
              <w:marTop w:val="0"/>
              <w:marBottom w:val="0"/>
              <w:divBdr>
                <w:top w:val="none" w:sz="0" w:space="0" w:color="auto"/>
                <w:left w:val="none" w:sz="0" w:space="0" w:color="auto"/>
                <w:bottom w:val="none" w:sz="0" w:space="0" w:color="auto"/>
                <w:right w:val="none" w:sz="0" w:space="0" w:color="auto"/>
              </w:divBdr>
              <w:divsChild>
                <w:div w:id="205719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756185">
      <w:bodyDiv w:val="1"/>
      <w:marLeft w:val="0"/>
      <w:marRight w:val="0"/>
      <w:marTop w:val="0"/>
      <w:marBottom w:val="0"/>
      <w:divBdr>
        <w:top w:val="none" w:sz="0" w:space="0" w:color="auto"/>
        <w:left w:val="none" w:sz="0" w:space="0" w:color="auto"/>
        <w:bottom w:val="none" w:sz="0" w:space="0" w:color="auto"/>
        <w:right w:val="none" w:sz="0" w:space="0" w:color="auto"/>
      </w:divBdr>
    </w:div>
    <w:div w:id="533157744">
      <w:bodyDiv w:val="1"/>
      <w:marLeft w:val="0"/>
      <w:marRight w:val="0"/>
      <w:marTop w:val="0"/>
      <w:marBottom w:val="0"/>
      <w:divBdr>
        <w:top w:val="none" w:sz="0" w:space="0" w:color="auto"/>
        <w:left w:val="none" w:sz="0" w:space="0" w:color="auto"/>
        <w:bottom w:val="none" w:sz="0" w:space="0" w:color="auto"/>
        <w:right w:val="none" w:sz="0" w:space="0" w:color="auto"/>
      </w:divBdr>
    </w:div>
    <w:div w:id="534119431">
      <w:bodyDiv w:val="1"/>
      <w:marLeft w:val="0"/>
      <w:marRight w:val="0"/>
      <w:marTop w:val="0"/>
      <w:marBottom w:val="0"/>
      <w:divBdr>
        <w:top w:val="none" w:sz="0" w:space="0" w:color="auto"/>
        <w:left w:val="none" w:sz="0" w:space="0" w:color="auto"/>
        <w:bottom w:val="none" w:sz="0" w:space="0" w:color="auto"/>
        <w:right w:val="none" w:sz="0" w:space="0" w:color="auto"/>
      </w:divBdr>
    </w:div>
    <w:div w:id="545411984">
      <w:bodyDiv w:val="1"/>
      <w:marLeft w:val="0"/>
      <w:marRight w:val="0"/>
      <w:marTop w:val="0"/>
      <w:marBottom w:val="0"/>
      <w:divBdr>
        <w:top w:val="none" w:sz="0" w:space="0" w:color="auto"/>
        <w:left w:val="none" w:sz="0" w:space="0" w:color="auto"/>
        <w:bottom w:val="none" w:sz="0" w:space="0" w:color="auto"/>
        <w:right w:val="none" w:sz="0" w:space="0" w:color="auto"/>
      </w:divBdr>
    </w:div>
    <w:div w:id="545608503">
      <w:bodyDiv w:val="1"/>
      <w:marLeft w:val="0"/>
      <w:marRight w:val="0"/>
      <w:marTop w:val="0"/>
      <w:marBottom w:val="0"/>
      <w:divBdr>
        <w:top w:val="none" w:sz="0" w:space="0" w:color="auto"/>
        <w:left w:val="none" w:sz="0" w:space="0" w:color="auto"/>
        <w:bottom w:val="none" w:sz="0" w:space="0" w:color="auto"/>
        <w:right w:val="none" w:sz="0" w:space="0" w:color="auto"/>
      </w:divBdr>
    </w:div>
    <w:div w:id="551968759">
      <w:bodyDiv w:val="1"/>
      <w:marLeft w:val="0"/>
      <w:marRight w:val="0"/>
      <w:marTop w:val="0"/>
      <w:marBottom w:val="0"/>
      <w:divBdr>
        <w:top w:val="none" w:sz="0" w:space="0" w:color="auto"/>
        <w:left w:val="none" w:sz="0" w:space="0" w:color="auto"/>
        <w:bottom w:val="none" w:sz="0" w:space="0" w:color="auto"/>
        <w:right w:val="none" w:sz="0" w:space="0" w:color="auto"/>
      </w:divBdr>
      <w:divsChild>
        <w:div w:id="1351375886">
          <w:marLeft w:val="0"/>
          <w:marRight w:val="0"/>
          <w:marTop w:val="0"/>
          <w:marBottom w:val="0"/>
          <w:divBdr>
            <w:top w:val="none" w:sz="0" w:space="0" w:color="auto"/>
            <w:left w:val="none" w:sz="0" w:space="0" w:color="auto"/>
            <w:bottom w:val="none" w:sz="0" w:space="0" w:color="auto"/>
            <w:right w:val="none" w:sz="0" w:space="0" w:color="auto"/>
          </w:divBdr>
          <w:divsChild>
            <w:div w:id="1544708672">
              <w:marLeft w:val="0"/>
              <w:marRight w:val="0"/>
              <w:marTop w:val="0"/>
              <w:marBottom w:val="0"/>
              <w:divBdr>
                <w:top w:val="none" w:sz="0" w:space="0" w:color="auto"/>
                <w:left w:val="none" w:sz="0" w:space="0" w:color="auto"/>
                <w:bottom w:val="none" w:sz="0" w:space="0" w:color="auto"/>
                <w:right w:val="none" w:sz="0" w:space="0" w:color="auto"/>
              </w:divBdr>
              <w:divsChild>
                <w:div w:id="113745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049448">
      <w:bodyDiv w:val="1"/>
      <w:marLeft w:val="0"/>
      <w:marRight w:val="0"/>
      <w:marTop w:val="0"/>
      <w:marBottom w:val="0"/>
      <w:divBdr>
        <w:top w:val="none" w:sz="0" w:space="0" w:color="auto"/>
        <w:left w:val="none" w:sz="0" w:space="0" w:color="auto"/>
        <w:bottom w:val="none" w:sz="0" w:space="0" w:color="auto"/>
        <w:right w:val="none" w:sz="0" w:space="0" w:color="auto"/>
      </w:divBdr>
      <w:divsChild>
        <w:div w:id="1667856099">
          <w:marLeft w:val="0"/>
          <w:marRight w:val="0"/>
          <w:marTop w:val="0"/>
          <w:marBottom w:val="0"/>
          <w:divBdr>
            <w:top w:val="none" w:sz="0" w:space="0" w:color="auto"/>
            <w:left w:val="none" w:sz="0" w:space="0" w:color="auto"/>
            <w:bottom w:val="none" w:sz="0" w:space="0" w:color="auto"/>
            <w:right w:val="none" w:sz="0" w:space="0" w:color="auto"/>
          </w:divBdr>
        </w:div>
      </w:divsChild>
    </w:div>
    <w:div w:id="567031050">
      <w:bodyDiv w:val="1"/>
      <w:marLeft w:val="0"/>
      <w:marRight w:val="0"/>
      <w:marTop w:val="0"/>
      <w:marBottom w:val="0"/>
      <w:divBdr>
        <w:top w:val="none" w:sz="0" w:space="0" w:color="auto"/>
        <w:left w:val="none" w:sz="0" w:space="0" w:color="auto"/>
        <w:bottom w:val="none" w:sz="0" w:space="0" w:color="auto"/>
        <w:right w:val="none" w:sz="0" w:space="0" w:color="auto"/>
      </w:divBdr>
    </w:div>
    <w:div w:id="571621940">
      <w:bodyDiv w:val="1"/>
      <w:marLeft w:val="0"/>
      <w:marRight w:val="0"/>
      <w:marTop w:val="0"/>
      <w:marBottom w:val="0"/>
      <w:divBdr>
        <w:top w:val="none" w:sz="0" w:space="0" w:color="auto"/>
        <w:left w:val="none" w:sz="0" w:space="0" w:color="auto"/>
        <w:bottom w:val="none" w:sz="0" w:space="0" w:color="auto"/>
        <w:right w:val="none" w:sz="0" w:space="0" w:color="auto"/>
      </w:divBdr>
    </w:div>
    <w:div w:id="573979908">
      <w:bodyDiv w:val="1"/>
      <w:marLeft w:val="0"/>
      <w:marRight w:val="0"/>
      <w:marTop w:val="0"/>
      <w:marBottom w:val="0"/>
      <w:divBdr>
        <w:top w:val="none" w:sz="0" w:space="0" w:color="auto"/>
        <w:left w:val="none" w:sz="0" w:space="0" w:color="auto"/>
        <w:bottom w:val="none" w:sz="0" w:space="0" w:color="auto"/>
        <w:right w:val="none" w:sz="0" w:space="0" w:color="auto"/>
      </w:divBdr>
      <w:divsChild>
        <w:div w:id="749935772">
          <w:marLeft w:val="0"/>
          <w:marRight w:val="0"/>
          <w:marTop w:val="0"/>
          <w:marBottom w:val="0"/>
          <w:divBdr>
            <w:top w:val="none" w:sz="0" w:space="0" w:color="auto"/>
            <w:left w:val="none" w:sz="0" w:space="0" w:color="auto"/>
            <w:bottom w:val="none" w:sz="0" w:space="0" w:color="auto"/>
            <w:right w:val="none" w:sz="0" w:space="0" w:color="auto"/>
          </w:divBdr>
          <w:divsChild>
            <w:div w:id="383263694">
              <w:marLeft w:val="0"/>
              <w:marRight w:val="0"/>
              <w:marTop w:val="0"/>
              <w:marBottom w:val="0"/>
              <w:divBdr>
                <w:top w:val="none" w:sz="0" w:space="0" w:color="auto"/>
                <w:left w:val="none" w:sz="0" w:space="0" w:color="auto"/>
                <w:bottom w:val="none" w:sz="0" w:space="0" w:color="auto"/>
                <w:right w:val="none" w:sz="0" w:space="0" w:color="auto"/>
              </w:divBdr>
              <w:divsChild>
                <w:div w:id="76777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859008">
      <w:bodyDiv w:val="1"/>
      <w:marLeft w:val="0"/>
      <w:marRight w:val="0"/>
      <w:marTop w:val="0"/>
      <w:marBottom w:val="0"/>
      <w:divBdr>
        <w:top w:val="none" w:sz="0" w:space="0" w:color="auto"/>
        <w:left w:val="none" w:sz="0" w:space="0" w:color="auto"/>
        <w:bottom w:val="none" w:sz="0" w:space="0" w:color="auto"/>
        <w:right w:val="none" w:sz="0" w:space="0" w:color="auto"/>
      </w:divBdr>
    </w:div>
    <w:div w:id="592083864">
      <w:bodyDiv w:val="1"/>
      <w:marLeft w:val="0"/>
      <w:marRight w:val="0"/>
      <w:marTop w:val="0"/>
      <w:marBottom w:val="0"/>
      <w:divBdr>
        <w:top w:val="none" w:sz="0" w:space="0" w:color="auto"/>
        <w:left w:val="none" w:sz="0" w:space="0" w:color="auto"/>
        <w:bottom w:val="none" w:sz="0" w:space="0" w:color="auto"/>
        <w:right w:val="none" w:sz="0" w:space="0" w:color="auto"/>
      </w:divBdr>
    </w:div>
    <w:div w:id="603657716">
      <w:bodyDiv w:val="1"/>
      <w:marLeft w:val="0"/>
      <w:marRight w:val="0"/>
      <w:marTop w:val="0"/>
      <w:marBottom w:val="0"/>
      <w:divBdr>
        <w:top w:val="none" w:sz="0" w:space="0" w:color="auto"/>
        <w:left w:val="none" w:sz="0" w:space="0" w:color="auto"/>
        <w:bottom w:val="none" w:sz="0" w:space="0" w:color="auto"/>
        <w:right w:val="none" w:sz="0" w:space="0" w:color="auto"/>
      </w:divBdr>
      <w:divsChild>
        <w:div w:id="443496650">
          <w:marLeft w:val="0"/>
          <w:marRight w:val="0"/>
          <w:marTop w:val="0"/>
          <w:marBottom w:val="0"/>
          <w:divBdr>
            <w:top w:val="none" w:sz="0" w:space="0" w:color="auto"/>
            <w:left w:val="none" w:sz="0" w:space="0" w:color="auto"/>
            <w:bottom w:val="none" w:sz="0" w:space="0" w:color="auto"/>
            <w:right w:val="none" w:sz="0" w:space="0" w:color="auto"/>
          </w:divBdr>
          <w:divsChild>
            <w:div w:id="817915551">
              <w:marLeft w:val="0"/>
              <w:marRight w:val="0"/>
              <w:marTop w:val="0"/>
              <w:marBottom w:val="0"/>
              <w:divBdr>
                <w:top w:val="none" w:sz="0" w:space="0" w:color="auto"/>
                <w:left w:val="none" w:sz="0" w:space="0" w:color="auto"/>
                <w:bottom w:val="none" w:sz="0" w:space="0" w:color="auto"/>
                <w:right w:val="none" w:sz="0" w:space="0" w:color="auto"/>
              </w:divBdr>
              <w:divsChild>
                <w:div w:id="178349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621550">
      <w:bodyDiv w:val="1"/>
      <w:marLeft w:val="0"/>
      <w:marRight w:val="0"/>
      <w:marTop w:val="0"/>
      <w:marBottom w:val="0"/>
      <w:divBdr>
        <w:top w:val="none" w:sz="0" w:space="0" w:color="auto"/>
        <w:left w:val="none" w:sz="0" w:space="0" w:color="auto"/>
        <w:bottom w:val="none" w:sz="0" w:space="0" w:color="auto"/>
        <w:right w:val="none" w:sz="0" w:space="0" w:color="auto"/>
      </w:divBdr>
    </w:div>
    <w:div w:id="622425286">
      <w:bodyDiv w:val="1"/>
      <w:marLeft w:val="0"/>
      <w:marRight w:val="0"/>
      <w:marTop w:val="0"/>
      <w:marBottom w:val="0"/>
      <w:divBdr>
        <w:top w:val="none" w:sz="0" w:space="0" w:color="auto"/>
        <w:left w:val="none" w:sz="0" w:space="0" w:color="auto"/>
        <w:bottom w:val="none" w:sz="0" w:space="0" w:color="auto"/>
        <w:right w:val="none" w:sz="0" w:space="0" w:color="auto"/>
      </w:divBdr>
    </w:div>
    <w:div w:id="625745283">
      <w:bodyDiv w:val="1"/>
      <w:marLeft w:val="0"/>
      <w:marRight w:val="0"/>
      <w:marTop w:val="0"/>
      <w:marBottom w:val="0"/>
      <w:divBdr>
        <w:top w:val="none" w:sz="0" w:space="0" w:color="auto"/>
        <w:left w:val="none" w:sz="0" w:space="0" w:color="auto"/>
        <w:bottom w:val="none" w:sz="0" w:space="0" w:color="auto"/>
        <w:right w:val="none" w:sz="0" w:space="0" w:color="auto"/>
      </w:divBdr>
    </w:div>
    <w:div w:id="636106385">
      <w:bodyDiv w:val="1"/>
      <w:marLeft w:val="0"/>
      <w:marRight w:val="0"/>
      <w:marTop w:val="0"/>
      <w:marBottom w:val="0"/>
      <w:divBdr>
        <w:top w:val="none" w:sz="0" w:space="0" w:color="auto"/>
        <w:left w:val="none" w:sz="0" w:space="0" w:color="auto"/>
        <w:bottom w:val="none" w:sz="0" w:space="0" w:color="auto"/>
        <w:right w:val="none" w:sz="0" w:space="0" w:color="auto"/>
      </w:divBdr>
      <w:divsChild>
        <w:div w:id="2049330512">
          <w:marLeft w:val="0"/>
          <w:marRight w:val="0"/>
          <w:marTop w:val="0"/>
          <w:marBottom w:val="0"/>
          <w:divBdr>
            <w:top w:val="none" w:sz="0" w:space="0" w:color="auto"/>
            <w:left w:val="none" w:sz="0" w:space="0" w:color="auto"/>
            <w:bottom w:val="none" w:sz="0" w:space="0" w:color="auto"/>
            <w:right w:val="none" w:sz="0" w:space="0" w:color="auto"/>
          </w:divBdr>
          <w:divsChild>
            <w:div w:id="1403987186">
              <w:marLeft w:val="0"/>
              <w:marRight w:val="0"/>
              <w:marTop w:val="0"/>
              <w:marBottom w:val="0"/>
              <w:divBdr>
                <w:top w:val="none" w:sz="0" w:space="0" w:color="auto"/>
                <w:left w:val="none" w:sz="0" w:space="0" w:color="auto"/>
                <w:bottom w:val="none" w:sz="0" w:space="0" w:color="auto"/>
                <w:right w:val="none" w:sz="0" w:space="0" w:color="auto"/>
              </w:divBdr>
              <w:divsChild>
                <w:div w:id="567113505">
                  <w:marLeft w:val="0"/>
                  <w:marRight w:val="0"/>
                  <w:marTop w:val="0"/>
                  <w:marBottom w:val="0"/>
                  <w:divBdr>
                    <w:top w:val="none" w:sz="0" w:space="0" w:color="auto"/>
                    <w:left w:val="none" w:sz="0" w:space="0" w:color="auto"/>
                    <w:bottom w:val="none" w:sz="0" w:space="0" w:color="auto"/>
                    <w:right w:val="none" w:sz="0" w:space="0" w:color="auto"/>
                  </w:divBdr>
                  <w:divsChild>
                    <w:div w:id="199514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185418">
      <w:bodyDiv w:val="1"/>
      <w:marLeft w:val="0"/>
      <w:marRight w:val="0"/>
      <w:marTop w:val="0"/>
      <w:marBottom w:val="0"/>
      <w:divBdr>
        <w:top w:val="none" w:sz="0" w:space="0" w:color="auto"/>
        <w:left w:val="none" w:sz="0" w:space="0" w:color="auto"/>
        <w:bottom w:val="none" w:sz="0" w:space="0" w:color="auto"/>
        <w:right w:val="none" w:sz="0" w:space="0" w:color="auto"/>
      </w:divBdr>
      <w:divsChild>
        <w:div w:id="291252651">
          <w:marLeft w:val="0"/>
          <w:marRight w:val="0"/>
          <w:marTop w:val="0"/>
          <w:marBottom w:val="0"/>
          <w:divBdr>
            <w:top w:val="none" w:sz="0" w:space="0" w:color="auto"/>
            <w:left w:val="none" w:sz="0" w:space="0" w:color="auto"/>
            <w:bottom w:val="none" w:sz="0" w:space="0" w:color="auto"/>
            <w:right w:val="none" w:sz="0" w:space="0" w:color="auto"/>
          </w:divBdr>
          <w:divsChild>
            <w:div w:id="358315447">
              <w:marLeft w:val="0"/>
              <w:marRight w:val="0"/>
              <w:marTop w:val="0"/>
              <w:marBottom w:val="0"/>
              <w:divBdr>
                <w:top w:val="none" w:sz="0" w:space="0" w:color="auto"/>
                <w:left w:val="none" w:sz="0" w:space="0" w:color="auto"/>
                <w:bottom w:val="none" w:sz="0" w:space="0" w:color="auto"/>
                <w:right w:val="none" w:sz="0" w:space="0" w:color="auto"/>
              </w:divBdr>
              <w:divsChild>
                <w:div w:id="2017226003">
                  <w:marLeft w:val="0"/>
                  <w:marRight w:val="0"/>
                  <w:marTop w:val="0"/>
                  <w:marBottom w:val="0"/>
                  <w:divBdr>
                    <w:top w:val="none" w:sz="0" w:space="0" w:color="auto"/>
                    <w:left w:val="none" w:sz="0" w:space="0" w:color="auto"/>
                    <w:bottom w:val="none" w:sz="0" w:space="0" w:color="auto"/>
                    <w:right w:val="none" w:sz="0" w:space="0" w:color="auto"/>
                  </w:divBdr>
                  <w:divsChild>
                    <w:div w:id="121126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765474">
      <w:bodyDiv w:val="1"/>
      <w:marLeft w:val="0"/>
      <w:marRight w:val="0"/>
      <w:marTop w:val="0"/>
      <w:marBottom w:val="0"/>
      <w:divBdr>
        <w:top w:val="none" w:sz="0" w:space="0" w:color="auto"/>
        <w:left w:val="none" w:sz="0" w:space="0" w:color="auto"/>
        <w:bottom w:val="none" w:sz="0" w:space="0" w:color="auto"/>
        <w:right w:val="none" w:sz="0" w:space="0" w:color="auto"/>
      </w:divBdr>
    </w:div>
    <w:div w:id="641158980">
      <w:bodyDiv w:val="1"/>
      <w:marLeft w:val="0"/>
      <w:marRight w:val="0"/>
      <w:marTop w:val="0"/>
      <w:marBottom w:val="0"/>
      <w:divBdr>
        <w:top w:val="none" w:sz="0" w:space="0" w:color="auto"/>
        <w:left w:val="none" w:sz="0" w:space="0" w:color="auto"/>
        <w:bottom w:val="none" w:sz="0" w:space="0" w:color="auto"/>
        <w:right w:val="none" w:sz="0" w:space="0" w:color="auto"/>
      </w:divBdr>
      <w:divsChild>
        <w:div w:id="1658876263">
          <w:marLeft w:val="0"/>
          <w:marRight w:val="0"/>
          <w:marTop w:val="0"/>
          <w:marBottom w:val="0"/>
          <w:divBdr>
            <w:top w:val="none" w:sz="0" w:space="0" w:color="auto"/>
            <w:left w:val="none" w:sz="0" w:space="0" w:color="auto"/>
            <w:bottom w:val="none" w:sz="0" w:space="0" w:color="auto"/>
            <w:right w:val="none" w:sz="0" w:space="0" w:color="auto"/>
          </w:divBdr>
        </w:div>
      </w:divsChild>
    </w:div>
    <w:div w:id="645167589">
      <w:bodyDiv w:val="1"/>
      <w:marLeft w:val="0"/>
      <w:marRight w:val="0"/>
      <w:marTop w:val="0"/>
      <w:marBottom w:val="0"/>
      <w:divBdr>
        <w:top w:val="none" w:sz="0" w:space="0" w:color="auto"/>
        <w:left w:val="none" w:sz="0" w:space="0" w:color="auto"/>
        <w:bottom w:val="none" w:sz="0" w:space="0" w:color="auto"/>
        <w:right w:val="none" w:sz="0" w:space="0" w:color="auto"/>
      </w:divBdr>
    </w:div>
    <w:div w:id="645668347">
      <w:bodyDiv w:val="1"/>
      <w:marLeft w:val="0"/>
      <w:marRight w:val="0"/>
      <w:marTop w:val="0"/>
      <w:marBottom w:val="0"/>
      <w:divBdr>
        <w:top w:val="none" w:sz="0" w:space="0" w:color="auto"/>
        <w:left w:val="none" w:sz="0" w:space="0" w:color="auto"/>
        <w:bottom w:val="none" w:sz="0" w:space="0" w:color="auto"/>
        <w:right w:val="none" w:sz="0" w:space="0" w:color="auto"/>
      </w:divBdr>
      <w:divsChild>
        <w:div w:id="1452944671">
          <w:marLeft w:val="0"/>
          <w:marRight w:val="0"/>
          <w:marTop w:val="0"/>
          <w:marBottom w:val="0"/>
          <w:divBdr>
            <w:top w:val="none" w:sz="0" w:space="0" w:color="auto"/>
            <w:left w:val="none" w:sz="0" w:space="0" w:color="auto"/>
            <w:bottom w:val="none" w:sz="0" w:space="0" w:color="auto"/>
            <w:right w:val="none" w:sz="0" w:space="0" w:color="auto"/>
          </w:divBdr>
          <w:divsChild>
            <w:div w:id="1403334735">
              <w:marLeft w:val="0"/>
              <w:marRight w:val="0"/>
              <w:marTop w:val="0"/>
              <w:marBottom w:val="0"/>
              <w:divBdr>
                <w:top w:val="none" w:sz="0" w:space="0" w:color="auto"/>
                <w:left w:val="none" w:sz="0" w:space="0" w:color="auto"/>
                <w:bottom w:val="none" w:sz="0" w:space="0" w:color="auto"/>
                <w:right w:val="none" w:sz="0" w:space="0" w:color="auto"/>
              </w:divBdr>
              <w:divsChild>
                <w:div w:id="20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404048">
      <w:bodyDiv w:val="1"/>
      <w:marLeft w:val="0"/>
      <w:marRight w:val="0"/>
      <w:marTop w:val="0"/>
      <w:marBottom w:val="0"/>
      <w:divBdr>
        <w:top w:val="none" w:sz="0" w:space="0" w:color="auto"/>
        <w:left w:val="none" w:sz="0" w:space="0" w:color="auto"/>
        <w:bottom w:val="none" w:sz="0" w:space="0" w:color="auto"/>
        <w:right w:val="none" w:sz="0" w:space="0" w:color="auto"/>
      </w:divBdr>
      <w:divsChild>
        <w:div w:id="12003548">
          <w:marLeft w:val="0"/>
          <w:marRight w:val="0"/>
          <w:marTop w:val="0"/>
          <w:marBottom w:val="0"/>
          <w:divBdr>
            <w:top w:val="none" w:sz="0" w:space="0" w:color="auto"/>
            <w:left w:val="none" w:sz="0" w:space="0" w:color="auto"/>
            <w:bottom w:val="none" w:sz="0" w:space="0" w:color="auto"/>
            <w:right w:val="none" w:sz="0" w:space="0" w:color="auto"/>
          </w:divBdr>
          <w:divsChild>
            <w:div w:id="1970697878">
              <w:marLeft w:val="0"/>
              <w:marRight w:val="0"/>
              <w:marTop w:val="0"/>
              <w:marBottom w:val="0"/>
              <w:divBdr>
                <w:top w:val="none" w:sz="0" w:space="0" w:color="auto"/>
                <w:left w:val="none" w:sz="0" w:space="0" w:color="auto"/>
                <w:bottom w:val="none" w:sz="0" w:space="0" w:color="auto"/>
                <w:right w:val="none" w:sz="0" w:space="0" w:color="auto"/>
              </w:divBdr>
              <w:divsChild>
                <w:div w:id="128491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731953">
      <w:bodyDiv w:val="1"/>
      <w:marLeft w:val="0"/>
      <w:marRight w:val="0"/>
      <w:marTop w:val="0"/>
      <w:marBottom w:val="0"/>
      <w:divBdr>
        <w:top w:val="none" w:sz="0" w:space="0" w:color="auto"/>
        <w:left w:val="none" w:sz="0" w:space="0" w:color="auto"/>
        <w:bottom w:val="none" w:sz="0" w:space="0" w:color="auto"/>
        <w:right w:val="none" w:sz="0" w:space="0" w:color="auto"/>
      </w:divBdr>
    </w:div>
    <w:div w:id="669599914">
      <w:bodyDiv w:val="1"/>
      <w:marLeft w:val="0"/>
      <w:marRight w:val="0"/>
      <w:marTop w:val="0"/>
      <w:marBottom w:val="0"/>
      <w:divBdr>
        <w:top w:val="none" w:sz="0" w:space="0" w:color="auto"/>
        <w:left w:val="none" w:sz="0" w:space="0" w:color="auto"/>
        <w:bottom w:val="none" w:sz="0" w:space="0" w:color="auto"/>
        <w:right w:val="none" w:sz="0" w:space="0" w:color="auto"/>
      </w:divBdr>
      <w:divsChild>
        <w:div w:id="1657492997">
          <w:marLeft w:val="0"/>
          <w:marRight w:val="0"/>
          <w:marTop w:val="0"/>
          <w:marBottom w:val="0"/>
          <w:divBdr>
            <w:top w:val="none" w:sz="0" w:space="0" w:color="auto"/>
            <w:left w:val="none" w:sz="0" w:space="0" w:color="auto"/>
            <w:bottom w:val="none" w:sz="0" w:space="0" w:color="auto"/>
            <w:right w:val="none" w:sz="0" w:space="0" w:color="auto"/>
          </w:divBdr>
          <w:divsChild>
            <w:div w:id="1955865795">
              <w:marLeft w:val="0"/>
              <w:marRight w:val="0"/>
              <w:marTop w:val="0"/>
              <w:marBottom w:val="0"/>
              <w:divBdr>
                <w:top w:val="none" w:sz="0" w:space="0" w:color="auto"/>
                <w:left w:val="none" w:sz="0" w:space="0" w:color="auto"/>
                <w:bottom w:val="none" w:sz="0" w:space="0" w:color="auto"/>
                <w:right w:val="none" w:sz="0" w:space="0" w:color="auto"/>
              </w:divBdr>
              <w:divsChild>
                <w:div w:id="146291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075836">
      <w:bodyDiv w:val="1"/>
      <w:marLeft w:val="0"/>
      <w:marRight w:val="0"/>
      <w:marTop w:val="0"/>
      <w:marBottom w:val="0"/>
      <w:divBdr>
        <w:top w:val="none" w:sz="0" w:space="0" w:color="auto"/>
        <w:left w:val="none" w:sz="0" w:space="0" w:color="auto"/>
        <w:bottom w:val="none" w:sz="0" w:space="0" w:color="auto"/>
        <w:right w:val="none" w:sz="0" w:space="0" w:color="auto"/>
      </w:divBdr>
    </w:div>
    <w:div w:id="683673380">
      <w:bodyDiv w:val="1"/>
      <w:marLeft w:val="0"/>
      <w:marRight w:val="0"/>
      <w:marTop w:val="0"/>
      <w:marBottom w:val="0"/>
      <w:divBdr>
        <w:top w:val="none" w:sz="0" w:space="0" w:color="auto"/>
        <w:left w:val="none" w:sz="0" w:space="0" w:color="auto"/>
        <w:bottom w:val="none" w:sz="0" w:space="0" w:color="auto"/>
        <w:right w:val="none" w:sz="0" w:space="0" w:color="auto"/>
      </w:divBdr>
    </w:div>
    <w:div w:id="695468219">
      <w:bodyDiv w:val="1"/>
      <w:marLeft w:val="0"/>
      <w:marRight w:val="0"/>
      <w:marTop w:val="0"/>
      <w:marBottom w:val="0"/>
      <w:divBdr>
        <w:top w:val="none" w:sz="0" w:space="0" w:color="auto"/>
        <w:left w:val="none" w:sz="0" w:space="0" w:color="auto"/>
        <w:bottom w:val="none" w:sz="0" w:space="0" w:color="auto"/>
        <w:right w:val="none" w:sz="0" w:space="0" w:color="auto"/>
      </w:divBdr>
    </w:div>
    <w:div w:id="699166267">
      <w:bodyDiv w:val="1"/>
      <w:marLeft w:val="0"/>
      <w:marRight w:val="0"/>
      <w:marTop w:val="0"/>
      <w:marBottom w:val="0"/>
      <w:divBdr>
        <w:top w:val="none" w:sz="0" w:space="0" w:color="auto"/>
        <w:left w:val="none" w:sz="0" w:space="0" w:color="auto"/>
        <w:bottom w:val="none" w:sz="0" w:space="0" w:color="auto"/>
        <w:right w:val="none" w:sz="0" w:space="0" w:color="auto"/>
      </w:divBdr>
    </w:div>
    <w:div w:id="701444387">
      <w:bodyDiv w:val="1"/>
      <w:marLeft w:val="0"/>
      <w:marRight w:val="0"/>
      <w:marTop w:val="0"/>
      <w:marBottom w:val="0"/>
      <w:divBdr>
        <w:top w:val="none" w:sz="0" w:space="0" w:color="auto"/>
        <w:left w:val="none" w:sz="0" w:space="0" w:color="auto"/>
        <w:bottom w:val="none" w:sz="0" w:space="0" w:color="auto"/>
        <w:right w:val="none" w:sz="0" w:space="0" w:color="auto"/>
      </w:divBdr>
    </w:div>
    <w:div w:id="706223117">
      <w:bodyDiv w:val="1"/>
      <w:marLeft w:val="0"/>
      <w:marRight w:val="0"/>
      <w:marTop w:val="0"/>
      <w:marBottom w:val="0"/>
      <w:divBdr>
        <w:top w:val="none" w:sz="0" w:space="0" w:color="auto"/>
        <w:left w:val="none" w:sz="0" w:space="0" w:color="auto"/>
        <w:bottom w:val="none" w:sz="0" w:space="0" w:color="auto"/>
        <w:right w:val="none" w:sz="0" w:space="0" w:color="auto"/>
      </w:divBdr>
    </w:div>
    <w:div w:id="706610108">
      <w:bodyDiv w:val="1"/>
      <w:marLeft w:val="0"/>
      <w:marRight w:val="0"/>
      <w:marTop w:val="0"/>
      <w:marBottom w:val="0"/>
      <w:divBdr>
        <w:top w:val="none" w:sz="0" w:space="0" w:color="auto"/>
        <w:left w:val="none" w:sz="0" w:space="0" w:color="auto"/>
        <w:bottom w:val="none" w:sz="0" w:space="0" w:color="auto"/>
        <w:right w:val="none" w:sz="0" w:space="0" w:color="auto"/>
      </w:divBdr>
    </w:div>
    <w:div w:id="721712576">
      <w:bodyDiv w:val="1"/>
      <w:marLeft w:val="0"/>
      <w:marRight w:val="0"/>
      <w:marTop w:val="0"/>
      <w:marBottom w:val="0"/>
      <w:divBdr>
        <w:top w:val="none" w:sz="0" w:space="0" w:color="auto"/>
        <w:left w:val="none" w:sz="0" w:space="0" w:color="auto"/>
        <w:bottom w:val="none" w:sz="0" w:space="0" w:color="auto"/>
        <w:right w:val="none" w:sz="0" w:space="0" w:color="auto"/>
      </w:divBdr>
      <w:divsChild>
        <w:div w:id="642661611">
          <w:marLeft w:val="0"/>
          <w:marRight w:val="0"/>
          <w:marTop w:val="0"/>
          <w:marBottom w:val="0"/>
          <w:divBdr>
            <w:top w:val="none" w:sz="0" w:space="0" w:color="auto"/>
            <w:left w:val="none" w:sz="0" w:space="0" w:color="auto"/>
            <w:bottom w:val="none" w:sz="0" w:space="0" w:color="auto"/>
            <w:right w:val="none" w:sz="0" w:space="0" w:color="auto"/>
          </w:divBdr>
          <w:divsChild>
            <w:div w:id="1562598210">
              <w:marLeft w:val="0"/>
              <w:marRight w:val="0"/>
              <w:marTop w:val="0"/>
              <w:marBottom w:val="0"/>
              <w:divBdr>
                <w:top w:val="none" w:sz="0" w:space="0" w:color="auto"/>
                <w:left w:val="none" w:sz="0" w:space="0" w:color="auto"/>
                <w:bottom w:val="none" w:sz="0" w:space="0" w:color="auto"/>
                <w:right w:val="none" w:sz="0" w:space="0" w:color="auto"/>
              </w:divBdr>
              <w:divsChild>
                <w:div w:id="123189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603890">
      <w:bodyDiv w:val="1"/>
      <w:marLeft w:val="0"/>
      <w:marRight w:val="0"/>
      <w:marTop w:val="0"/>
      <w:marBottom w:val="0"/>
      <w:divBdr>
        <w:top w:val="none" w:sz="0" w:space="0" w:color="auto"/>
        <w:left w:val="none" w:sz="0" w:space="0" w:color="auto"/>
        <w:bottom w:val="none" w:sz="0" w:space="0" w:color="auto"/>
        <w:right w:val="none" w:sz="0" w:space="0" w:color="auto"/>
      </w:divBdr>
    </w:div>
    <w:div w:id="743600594">
      <w:bodyDiv w:val="1"/>
      <w:marLeft w:val="0"/>
      <w:marRight w:val="0"/>
      <w:marTop w:val="0"/>
      <w:marBottom w:val="0"/>
      <w:divBdr>
        <w:top w:val="none" w:sz="0" w:space="0" w:color="auto"/>
        <w:left w:val="none" w:sz="0" w:space="0" w:color="auto"/>
        <w:bottom w:val="none" w:sz="0" w:space="0" w:color="auto"/>
        <w:right w:val="none" w:sz="0" w:space="0" w:color="auto"/>
      </w:divBdr>
    </w:div>
    <w:div w:id="751004096">
      <w:bodyDiv w:val="1"/>
      <w:marLeft w:val="0"/>
      <w:marRight w:val="0"/>
      <w:marTop w:val="0"/>
      <w:marBottom w:val="0"/>
      <w:divBdr>
        <w:top w:val="none" w:sz="0" w:space="0" w:color="auto"/>
        <w:left w:val="none" w:sz="0" w:space="0" w:color="auto"/>
        <w:bottom w:val="none" w:sz="0" w:space="0" w:color="auto"/>
        <w:right w:val="none" w:sz="0" w:space="0" w:color="auto"/>
      </w:divBdr>
    </w:div>
    <w:div w:id="757562256">
      <w:bodyDiv w:val="1"/>
      <w:marLeft w:val="0"/>
      <w:marRight w:val="0"/>
      <w:marTop w:val="0"/>
      <w:marBottom w:val="0"/>
      <w:divBdr>
        <w:top w:val="none" w:sz="0" w:space="0" w:color="auto"/>
        <w:left w:val="none" w:sz="0" w:space="0" w:color="auto"/>
        <w:bottom w:val="none" w:sz="0" w:space="0" w:color="auto"/>
        <w:right w:val="none" w:sz="0" w:space="0" w:color="auto"/>
      </w:divBdr>
    </w:div>
    <w:div w:id="774178461">
      <w:bodyDiv w:val="1"/>
      <w:marLeft w:val="0"/>
      <w:marRight w:val="0"/>
      <w:marTop w:val="0"/>
      <w:marBottom w:val="0"/>
      <w:divBdr>
        <w:top w:val="none" w:sz="0" w:space="0" w:color="auto"/>
        <w:left w:val="none" w:sz="0" w:space="0" w:color="auto"/>
        <w:bottom w:val="none" w:sz="0" w:space="0" w:color="auto"/>
        <w:right w:val="none" w:sz="0" w:space="0" w:color="auto"/>
      </w:divBdr>
    </w:div>
    <w:div w:id="778377486">
      <w:bodyDiv w:val="1"/>
      <w:marLeft w:val="0"/>
      <w:marRight w:val="0"/>
      <w:marTop w:val="0"/>
      <w:marBottom w:val="0"/>
      <w:divBdr>
        <w:top w:val="none" w:sz="0" w:space="0" w:color="auto"/>
        <w:left w:val="none" w:sz="0" w:space="0" w:color="auto"/>
        <w:bottom w:val="none" w:sz="0" w:space="0" w:color="auto"/>
        <w:right w:val="none" w:sz="0" w:space="0" w:color="auto"/>
      </w:divBdr>
    </w:div>
    <w:div w:id="799030987">
      <w:bodyDiv w:val="1"/>
      <w:marLeft w:val="0"/>
      <w:marRight w:val="0"/>
      <w:marTop w:val="0"/>
      <w:marBottom w:val="0"/>
      <w:divBdr>
        <w:top w:val="none" w:sz="0" w:space="0" w:color="auto"/>
        <w:left w:val="none" w:sz="0" w:space="0" w:color="auto"/>
        <w:bottom w:val="none" w:sz="0" w:space="0" w:color="auto"/>
        <w:right w:val="none" w:sz="0" w:space="0" w:color="auto"/>
      </w:divBdr>
    </w:div>
    <w:div w:id="815531304">
      <w:bodyDiv w:val="1"/>
      <w:marLeft w:val="0"/>
      <w:marRight w:val="0"/>
      <w:marTop w:val="0"/>
      <w:marBottom w:val="0"/>
      <w:divBdr>
        <w:top w:val="none" w:sz="0" w:space="0" w:color="auto"/>
        <w:left w:val="none" w:sz="0" w:space="0" w:color="auto"/>
        <w:bottom w:val="none" w:sz="0" w:space="0" w:color="auto"/>
        <w:right w:val="none" w:sz="0" w:space="0" w:color="auto"/>
      </w:divBdr>
    </w:div>
    <w:div w:id="818038817">
      <w:bodyDiv w:val="1"/>
      <w:marLeft w:val="0"/>
      <w:marRight w:val="0"/>
      <w:marTop w:val="0"/>
      <w:marBottom w:val="0"/>
      <w:divBdr>
        <w:top w:val="none" w:sz="0" w:space="0" w:color="auto"/>
        <w:left w:val="none" w:sz="0" w:space="0" w:color="auto"/>
        <w:bottom w:val="none" w:sz="0" w:space="0" w:color="auto"/>
        <w:right w:val="none" w:sz="0" w:space="0" w:color="auto"/>
      </w:divBdr>
    </w:div>
    <w:div w:id="818111195">
      <w:bodyDiv w:val="1"/>
      <w:marLeft w:val="0"/>
      <w:marRight w:val="0"/>
      <w:marTop w:val="0"/>
      <w:marBottom w:val="0"/>
      <w:divBdr>
        <w:top w:val="none" w:sz="0" w:space="0" w:color="auto"/>
        <w:left w:val="none" w:sz="0" w:space="0" w:color="auto"/>
        <w:bottom w:val="none" w:sz="0" w:space="0" w:color="auto"/>
        <w:right w:val="none" w:sz="0" w:space="0" w:color="auto"/>
      </w:divBdr>
    </w:div>
    <w:div w:id="818305413">
      <w:bodyDiv w:val="1"/>
      <w:marLeft w:val="0"/>
      <w:marRight w:val="0"/>
      <w:marTop w:val="0"/>
      <w:marBottom w:val="0"/>
      <w:divBdr>
        <w:top w:val="none" w:sz="0" w:space="0" w:color="auto"/>
        <w:left w:val="none" w:sz="0" w:space="0" w:color="auto"/>
        <w:bottom w:val="none" w:sz="0" w:space="0" w:color="auto"/>
        <w:right w:val="none" w:sz="0" w:space="0" w:color="auto"/>
      </w:divBdr>
      <w:divsChild>
        <w:div w:id="1158227008">
          <w:marLeft w:val="0"/>
          <w:marRight w:val="0"/>
          <w:marTop w:val="0"/>
          <w:marBottom w:val="0"/>
          <w:divBdr>
            <w:top w:val="none" w:sz="0" w:space="0" w:color="auto"/>
            <w:left w:val="none" w:sz="0" w:space="0" w:color="auto"/>
            <w:bottom w:val="none" w:sz="0" w:space="0" w:color="auto"/>
            <w:right w:val="none" w:sz="0" w:space="0" w:color="auto"/>
          </w:divBdr>
          <w:divsChild>
            <w:div w:id="1851682325">
              <w:marLeft w:val="0"/>
              <w:marRight w:val="0"/>
              <w:marTop w:val="0"/>
              <w:marBottom w:val="0"/>
              <w:divBdr>
                <w:top w:val="none" w:sz="0" w:space="0" w:color="auto"/>
                <w:left w:val="none" w:sz="0" w:space="0" w:color="auto"/>
                <w:bottom w:val="none" w:sz="0" w:space="0" w:color="auto"/>
                <w:right w:val="none" w:sz="0" w:space="0" w:color="auto"/>
              </w:divBdr>
              <w:divsChild>
                <w:div w:id="177952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631941">
      <w:marLeft w:val="0"/>
      <w:marRight w:val="0"/>
      <w:marTop w:val="0"/>
      <w:marBottom w:val="0"/>
      <w:divBdr>
        <w:top w:val="none" w:sz="0" w:space="0" w:color="auto"/>
        <w:left w:val="none" w:sz="0" w:space="0" w:color="auto"/>
        <w:bottom w:val="none" w:sz="0" w:space="0" w:color="auto"/>
        <w:right w:val="none" w:sz="0" w:space="0" w:color="auto"/>
      </w:divBdr>
    </w:div>
    <w:div w:id="827937480">
      <w:bodyDiv w:val="1"/>
      <w:marLeft w:val="0"/>
      <w:marRight w:val="0"/>
      <w:marTop w:val="0"/>
      <w:marBottom w:val="0"/>
      <w:divBdr>
        <w:top w:val="none" w:sz="0" w:space="0" w:color="auto"/>
        <w:left w:val="none" w:sz="0" w:space="0" w:color="auto"/>
        <w:bottom w:val="none" w:sz="0" w:space="0" w:color="auto"/>
        <w:right w:val="none" w:sz="0" w:space="0" w:color="auto"/>
      </w:divBdr>
    </w:div>
    <w:div w:id="842938144">
      <w:bodyDiv w:val="1"/>
      <w:marLeft w:val="0"/>
      <w:marRight w:val="0"/>
      <w:marTop w:val="0"/>
      <w:marBottom w:val="0"/>
      <w:divBdr>
        <w:top w:val="none" w:sz="0" w:space="0" w:color="auto"/>
        <w:left w:val="none" w:sz="0" w:space="0" w:color="auto"/>
        <w:bottom w:val="none" w:sz="0" w:space="0" w:color="auto"/>
        <w:right w:val="none" w:sz="0" w:space="0" w:color="auto"/>
      </w:divBdr>
    </w:div>
    <w:div w:id="844595046">
      <w:bodyDiv w:val="1"/>
      <w:marLeft w:val="0"/>
      <w:marRight w:val="0"/>
      <w:marTop w:val="0"/>
      <w:marBottom w:val="0"/>
      <w:divBdr>
        <w:top w:val="none" w:sz="0" w:space="0" w:color="auto"/>
        <w:left w:val="none" w:sz="0" w:space="0" w:color="auto"/>
        <w:bottom w:val="none" w:sz="0" w:space="0" w:color="auto"/>
        <w:right w:val="none" w:sz="0" w:space="0" w:color="auto"/>
      </w:divBdr>
    </w:div>
    <w:div w:id="850073272">
      <w:bodyDiv w:val="1"/>
      <w:marLeft w:val="0"/>
      <w:marRight w:val="0"/>
      <w:marTop w:val="0"/>
      <w:marBottom w:val="0"/>
      <w:divBdr>
        <w:top w:val="none" w:sz="0" w:space="0" w:color="auto"/>
        <w:left w:val="none" w:sz="0" w:space="0" w:color="auto"/>
        <w:bottom w:val="none" w:sz="0" w:space="0" w:color="auto"/>
        <w:right w:val="none" w:sz="0" w:space="0" w:color="auto"/>
      </w:divBdr>
    </w:div>
    <w:div w:id="853684928">
      <w:bodyDiv w:val="1"/>
      <w:marLeft w:val="0"/>
      <w:marRight w:val="0"/>
      <w:marTop w:val="0"/>
      <w:marBottom w:val="0"/>
      <w:divBdr>
        <w:top w:val="none" w:sz="0" w:space="0" w:color="auto"/>
        <w:left w:val="none" w:sz="0" w:space="0" w:color="auto"/>
        <w:bottom w:val="none" w:sz="0" w:space="0" w:color="auto"/>
        <w:right w:val="none" w:sz="0" w:space="0" w:color="auto"/>
      </w:divBdr>
    </w:div>
    <w:div w:id="855002130">
      <w:bodyDiv w:val="1"/>
      <w:marLeft w:val="0"/>
      <w:marRight w:val="0"/>
      <w:marTop w:val="0"/>
      <w:marBottom w:val="0"/>
      <w:divBdr>
        <w:top w:val="none" w:sz="0" w:space="0" w:color="auto"/>
        <w:left w:val="none" w:sz="0" w:space="0" w:color="auto"/>
        <w:bottom w:val="none" w:sz="0" w:space="0" w:color="auto"/>
        <w:right w:val="none" w:sz="0" w:space="0" w:color="auto"/>
      </w:divBdr>
    </w:div>
    <w:div w:id="857042665">
      <w:bodyDiv w:val="1"/>
      <w:marLeft w:val="0"/>
      <w:marRight w:val="0"/>
      <w:marTop w:val="0"/>
      <w:marBottom w:val="0"/>
      <w:divBdr>
        <w:top w:val="none" w:sz="0" w:space="0" w:color="auto"/>
        <w:left w:val="none" w:sz="0" w:space="0" w:color="auto"/>
        <w:bottom w:val="none" w:sz="0" w:space="0" w:color="auto"/>
        <w:right w:val="none" w:sz="0" w:space="0" w:color="auto"/>
      </w:divBdr>
    </w:div>
    <w:div w:id="859321462">
      <w:bodyDiv w:val="1"/>
      <w:marLeft w:val="0"/>
      <w:marRight w:val="0"/>
      <w:marTop w:val="0"/>
      <w:marBottom w:val="0"/>
      <w:divBdr>
        <w:top w:val="none" w:sz="0" w:space="0" w:color="auto"/>
        <w:left w:val="none" w:sz="0" w:space="0" w:color="auto"/>
        <w:bottom w:val="none" w:sz="0" w:space="0" w:color="auto"/>
        <w:right w:val="none" w:sz="0" w:space="0" w:color="auto"/>
      </w:divBdr>
    </w:div>
    <w:div w:id="859971561">
      <w:bodyDiv w:val="1"/>
      <w:marLeft w:val="0"/>
      <w:marRight w:val="0"/>
      <w:marTop w:val="0"/>
      <w:marBottom w:val="0"/>
      <w:divBdr>
        <w:top w:val="none" w:sz="0" w:space="0" w:color="auto"/>
        <w:left w:val="none" w:sz="0" w:space="0" w:color="auto"/>
        <w:bottom w:val="none" w:sz="0" w:space="0" w:color="auto"/>
        <w:right w:val="none" w:sz="0" w:space="0" w:color="auto"/>
      </w:divBdr>
      <w:divsChild>
        <w:div w:id="203566188">
          <w:marLeft w:val="0"/>
          <w:marRight w:val="0"/>
          <w:marTop w:val="0"/>
          <w:marBottom w:val="0"/>
          <w:divBdr>
            <w:top w:val="none" w:sz="0" w:space="0" w:color="auto"/>
            <w:left w:val="none" w:sz="0" w:space="0" w:color="auto"/>
            <w:bottom w:val="none" w:sz="0" w:space="0" w:color="auto"/>
            <w:right w:val="none" w:sz="0" w:space="0" w:color="auto"/>
          </w:divBdr>
          <w:divsChild>
            <w:div w:id="1462575777">
              <w:marLeft w:val="0"/>
              <w:marRight w:val="0"/>
              <w:marTop w:val="0"/>
              <w:marBottom w:val="0"/>
              <w:divBdr>
                <w:top w:val="none" w:sz="0" w:space="0" w:color="auto"/>
                <w:left w:val="none" w:sz="0" w:space="0" w:color="auto"/>
                <w:bottom w:val="none" w:sz="0" w:space="0" w:color="auto"/>
                <w:right w:val="none" w:sz="0" w:space="0" w:color="auto"/>
              </w:divBdr>
              <w:divsChild>
                <w:div w:id="75204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035875">
      <w:bodyDiv w:val="1"/>
      <w:marLeft w:val="0"/>
      <w:marRight w:val="0"/>
      <w:marTop w:val="0"/>
      <w:marBottom w:val="0"/>
      <w:divBdr>
        <w:top w:val="none" w:sz="0" w:space="0" w:color="auto"/>
        <w:left w:val="none" w:sz="0" w:space="0" w:color="auto"/>
        <w:bottom w:val="none" w:sz="0" w:space="0" w:color="auto"/>
        <w:right w:val="none" w:sz="0" w:space="0" w:color="auto"/>
      </w:divBdr>
      <w:divsChild>
        <w:div w:id="1438059578">
          <w:marLeft w:val="0"/>
          <w:marRight w:val="0"/>
          <w:marTop w:val="0"/>
          <w:marBottom w:val="0"/>
          <w:divBdr>
            <w:top w:val="none" w:sz="0" w:space="0" w:color="auto"/>
            <w:left w:val="none" w:sz="0" w:space="0" w:color="auto"/>
            <w:bottom w:val="none" w:sz="0" w:space="0" w:color="auto"/>
            <w:right w:val="none" w:sz="0" w:space="0" w:color="auto"/>
          </w:divBdr>
          <w:divsChild>
            <w:div w:id="394671397">
              <w:marLeft w:val="0"/>
              <w:marRight w:val="0"/>
              <w:marTop w:val="0"/>
              <w:marBottom w:val="0"/>
              <w:divBdr>
                <w:top w:val="none" w:sz="0" w:space="0" w:color="auto"/>
                <w:left w:val="none" w:sz="0" w:space="0" w:color="auto"/>
                <w:bottom w:val="none" w:sz="0" w:space="0" w:color="auto"/>
                <w:right w:val="none" w:sz="0" w:space="0" w:color="auto"/>
              </w:divBdr>
              <w:divsChild>
                <w:div w:id="109729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09466">
          <w:marLeft w:val="0"/>
          <w:marRight w:val="0"/>
          <w:marTop w:val="0"/>
          <w:marBottom w:val="0"/>
          <w:divBdr>
            <w:top w:val="none" w:sz="0" w:space="0" w:color="auto"/>
            <w:left w:val="none" w:sz="0" w:space="0" w:color="auto"/>
            <w:bottom w:val="none" w:sz="0" w:space="0" w:color="auto"/>
            <w:right w:val="none" w:sz="0" w:space="0" w:color="auto"/>
          </w:divBdr>
          <w:divsChild>
            <w:div w:id="766266142">
              <w:marLeft w:val="0"/>
              <w:marRight w:val="0"/>
              <w:marTop w:val="0"/>
              <w:marBottom w:val="0"/>
              <w:divBdr>
                <w:top w:val="none" w:sz="0" w:space="0" w:color="auto"/>
                <w:left w:val="none" w:sz="0" w:space="0" w:color="auto"/>
                <w:bottom w:val="none" w:sz="0" w:space="0" w:color="auto"/>
                <w:right w:val="none" w:sz="0" w:space="0" w:color="auto"/>
              </w:divBdr>
              <w:divsChild>
                <w:div w:id="3588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226363">
          <w:marLeft w:val="0"/>
          <w:marRight w:val="0"/>
          <w:marTop w:val="0"/>
          <w:marBottom w:val="0"/>
          <w:divBdr>
            <w:top w:val="none" w:sz="0" w:space="0" w:color="auto"/>
            <w:left w:val="none" w:sz="0" w:space="0" w:color="auto"/>
            <w:bottom w:val="none" w:sz="0" w:space="0" w:color="auto"/>
            <w:right w:val="none" w:sz="0" w:space="0" w:color="auto"/>
          </w:divBdr>
          <w:divsChild>
            <w:div w:id="1442873012">
              <w:marLeft w:val="0"/>
              <w:marRight w:val="0"/>
              <w:marTop w:val="0"/>
              <w:marBottom w:val="0"/>
              <w:divBdr>
                <w:top w:val="none" w:sz="0" w:space="0" w:color="auto"/>
                <w:left w:val="none" w:sz="0" w:space="0" w:color="auto"/>
                <w:bottom w:val="none" w:sz="0" w:space="0" w:color="auto"/>
                <w:right w:val="none" w:sz="0" w:space="0" w:color="auto"/>
              </w:divBdr>
              <w:divsChild>
                <w:div w:id="1517575760">
                  <w:marLeft w:val="0"/>
                  <w:marRight w:val="0"/>
                  <w:marTop w:val="0"/>
                  <w:marBottom w:val="0"/>
                  <w:divBdr>
                    <w:top w:val="none" w:sz="0" w:space="0" w:color="auto"/>
                    <w:left w:val="none" w:sz="0" w:space="0" w:color="auto"/>
                    <w:bottom w:val="none" w:sz="0" w:space="0" w:color="auto"/>
                    <w:right w:val="none" w:sz="0" w:space="0" w:color="auto"/>
                  </w:divBdr>
                </w:div>
              </w:divsChild>
            </w:div>
            <w:div w:id="1288319955">
              <w:marLeft w:val="0"/>
              <w:marRight w:val="0"/>
              <w:marTop w:val="0"/>
              <w:marBottom w:val="0"/>
              <w:divBdr>
                <w:top w:val="none" w:sz="0" w:space="0" w:color="auto"/>
                <w:left w:val="none" w:sz="0" w:space="0" w:color="auto"/>
                <w:bottom w:val="none" w:sz="0" w:space="0" w:color="auto"/>
                <w:right w:val="none" w:sz="0" w:space="0" w:color="auto"/>
              </w:divBdr>
              <w:divsChild>
                <w:div w:id="197259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115537">
      <w:bodyDiv w:val="1"/>
      <w:marLeft w:val="0"/>
      <w:marRight w:val="0"/>
      <w:marTop w:val="0"/>
      <w:marBottom w:val="0"/>
      <w:divBdr>
        <w:top w:val="none" w:sz="0" w:space="0" w:color="auto"/>
        <w:left w:val="none" w:sz="0" w:space="0" w:color="auto"/>
        <w:bottom w:val="none" w:sz="0" w:space="0" w:color="auto"/>
        <w:right w:val="none" w:sz="0" w:space="0" w:color="auto"/>
      </w:divBdr>
    </w:div>
    <w:div w:id="883250909">
      <w:bodyDiv w:val="1"/>
      <w:marLeft w:val="0"/>
      <w:marRight w:val="0"/>
      <w:marTop w:val="0"/>
      <w:marBottom w:val="0"/>
      <w:divBdr>
        <w:top w:val="none" w:sz="0" w:space="0" w:color="auto"/>
        <w:left w:val="none" w:sz="0" w:space="0" w:color="auto"/>
        <w:bottom w:val="none" w:sz="0" w:space="0" w:color="auto"/>
        <w:right w:val="none" w:sz="0" w:space="0" w:color="auto"/>
      </w:divBdr>
    </w:div>
    <w:div w:id="895287623">
      <w:bodyDiv w:val="1"/>
      <w:marLeft w:val="0"/>
      <w:marRight w:val="0"/>
      <w:marTop w:val="0"/>
      <w:marBottom w:val="0"/>
      <w:divBdr>
        <w:top w:val="none" w:sz="0" w:space="0" w:color="auto"/>
        <w:left w:val="none" w:sz="0" w:space="0" w:color="auto"/>
        <w:bottom w:val="none" w:sz="0" w:space="0" w:color="auto"/>
        <w:right w:val="none" w:sz="0" w:space="0" w:color="auto"/>
      </w:divBdr>
    </w:div>
    <w:div w:id="895438058">
      <w:bodyDiv w:val="1"/>
      <w:marLeft w:val="0"/>
      <w:marRight w:val="0"/>
      <w:marTop w:val="0"/>
      <w:marBottom w:val="0"/>
      <w:divBdr>
        <w:top w:val="none" w:sz="0" w:space="0" w:color="auto"/>
        <w:left w:val="none" w:sz="0" w:space="0" w:color="auto"/>
        <w:bottom w:val="none" w:sz="0" w:space="0" w:color="auto"/>
        <w:right w:val="none" w:sz="0" w:space="0" w:color="auto"/>
      </w:divBdr>
      <w:divsChild>
        <w:div w:id="1379665985">
          <w:marLeft w:val="0"/>
          <w:marRight w:val="0"/>
          <w:marTop w:val="0"/>
          <w:marBottom w:val="0"/>
          <w:divBdr>
            <w:top w:val="none" w:sz="0" w:space="0" w:color="auto"/>
            <w:left w:val="none" w:sz="0" w:space="0" w:color="auto"/>
            <w:bottom w:val="none" w:sz="0" w:space="0" w:color="auto"/>
            <w:right w:val="none" w:sz="0" w:space="0" w:color="auto"/>
          </w:divBdr>
          <w:divsChild>
            <w:div w:id="1956715210">
              <w:marLeft w:val="0"/>
              <w:marRight w:val="0"/>
              <w:marTop w:val="0"/>
              <w:marBottom w:val="0"/>
              <w:divBdr>
                <w:top w:val="none" w:sz="0" w:space="0" w:color="auto"/>
                <w:left w:val="none" w:sz="0" w:space="0" w:color="auto"/>
                <w:bottom w:val="none" w:sz="0" w:space="0" w:color="auto"/>
                <w:right w:val="none" w:sz="0" w:space="0" w:color="auto"/>
              </w:divBdr>
              <w:divsChild>
                <w:div w:id="1055469634">
                  <w:marLeft w:val="0"/>
                  <w:marRight w:val="0"/>
                  <w:marTop w:val="0"/>
                  <w:marBottom w:val="0"/>
                  <w:divBdr>
                    <w:top w:val="none" w:sz="0" w:space="0" w:color="auto"/>
                    <w:left w:val="none" w:sz="0" w:space="0" w:color="auto"/>
                    <w:bottom w:val="none" w:sz="0" w:space="0" w:color="auto"/>
                    <w:right w:val="none" w:sz="0" w:space="0" w:color="auto"/>
                  </w:divBdr>
                  <w:divsChild>
                    <w:div w:id="41663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138256">
      <w:bodyDiv w:val="1"/>
      <w:marLeft w:val="0"/>
      <w:marRight w:val="0"/>
      <w:marTop w:val="0"/>
      <w:marBottom w:val="0"/>
      <w:divBdr>
        <w:top w:val="none" w:sz="0" w:space="0" w:color="auto"/>
        <w:left w:val="none" w:sz="0" w:space="0" w:color="auto"/>
        <w:bottom w:val="none" w:sz="0" w:space="0" w:color="auto"/>
        <w:right w:val="none" w:sz="0" w:space="0" w:color="auto"/>
      </w:divBdr>
      <w:divsChild>
        <w:div w:id="49965855">
          <w:marLeft w:val="0"/>
          <w:marRight w:val="0"/>
          <w:marTop w:val="0"/>
          <w:marBottom w:val="0"/>
          <w:divBdr>
            <w:top w:val="none" w:sz="0" w:space="0" w:color="auto"/>
            <w:left w:val="none" w:sz="0" w:space="0" w:color="auto"/>
            <w:bottom w:val="none" w:sz="0" w:space="0" w:color="auto"/>
            <w:right w:val="none" w:sz="0" w:space="0" w:color="auto"/>
          </w:divBdr>
          <w:divsChild>
            <w:div w:id="1745451604">
              <w:marLeft w:val="0"/>
              <w:marRight w:val="0"/>
              <w:marTop w:val="0"/>
              <w:marBottom w:val="0"/>
              <w:divBdr>
                <w:top w:val="none" w:sz="0" w:space="0" w:color="auto"/>
                <w:left w:val="none" w:sz="0" w:space="0" w:color="auto"/>
                <w:bottom w:val="none" w:sz="0" w:space="0" w:color="auto"/>
                <w:right w:val="none" w:sz="0" w:space="0" w:color="auto"/>
              </w:divBdr>
              <w:divsChild>
                <w:div w:id="941839348">
                  <w:marLeft w:val="0"/>
                  <w:marRight w:val="0"/>
                  <w:marTop w:val="0"/>
                  <w:marBottom w:val="0"/>
                  <w:divBdr>
                    <w:top w:val="none" w:sz="0" w:space="0" w:color="auto"/>
                    <w:left w:val="none" w:sz="0" w:space="0" w:color="auto"/>
                    <w:bottom w:val="none" w:sz="0" w:space="0" w:color="auto"/>
                    <w:right w:val="none" w:sz="0" w:space="0" w:color="auto"/>
                  </w:divBdr>
                  <w:divsChild>
                    <w:div w:id="84536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562257">
      <w:bodyDiv w:val="1"/>
      <w:marLeft w:val="0"/>
      <w:marRight w:val="0"/>
      <w:marTop w:val="0"/>
      <w:marBottom w:val="0"/>
      <w:divBdr>
        <w:top w:val="none" w:sz="0" w:space="0" w:color="auto"/>
        <w:left w:val="none" w:sz="0" w:space="0" w:color="auto"/>
        <w:bottom w:val="none" w:sz="0" w:space="0" w:color="auto"/>
        <w:right w:val="none" w:sz="0" w:space="0" w:color="auto"/>
      </w:divBdr>
    </w:div>
    <w:div w:id="916670210">
      <w:bodyDiv w:val="1"/>
      <w:marLeft w:val="0"/>
      <w:marRight w:val="0"/>
      <w:marTop w:val="0"/>
      <w:marBottom w:val="0"/>
      <w:divBdr>
        <w:top w:val="none" w:sz="0" w:space="0" w:color="auto"/>
        <w:left w:val="none" w:sz="0" w:space="0" w:color="auto"/>
        <w:bottom w:val="none" w:sz="0" w:space="0" w:color="auto"/>
        <w:right w:val="none" w:sz="0" w:space="0" w:color="auto"/>
      </w:divBdr>
    </w:div>
    <w:div w:id="937952728">
      <w:bodyDiv w:val="1"/>
      <w:marLeft w:val="0"/>
      <w:marRight w:val="0"/>
      <w:marTop w:val="0"/>
      <w:marBottom w:val="0"/>
      <w:divBdr>
        <w:top w:val="none" w:sz="0" w:space="0" w:color="auto"/>
        <w:left w:val="none" w:sz="0" w:space="0" w:color="auto"/>
        <w:bottom w:val="none" w:sz="0" w:space="0" w:color="auto"/>
        <w:right w:val="none" w:sz="0" w:space="0" w:color="auto"/>
      </w:divBdr>
    </w:div>
    <w:div w:id="942036250">
      <w:bodyDiv w:val="1"/>
      <w:marLeft w:val="0"/>
      <w:marRight w:val="0"/>
      <w:marTop w:val="0"/>
      <w:marBottom w:val="0"/>
      <w:divBdr>
        <w:top w:val="none" w:sz="0" w:space="0" w:color="auto"/>
        <w:left w:val="none" w:sz="0" w:space="0" w:color="auto"/>
        <w:bottom w:val="none" w:sz="0" w:space="0" w:color="auto"/>
        <w:right w:val="none" w:sz="0" w:space="0" w:color="auto"/>
      </w:divBdr>
    </w:div>
    <w:div w:id="943147221">
      <w:bodyDiv w:val="1"/>
      <w:marLeft w:val="0"/>
      <w:marRight w:val="0"/>
      <w:marTop w:val="0"/>
      <w:marBottom w:val="0"/>
      <w:divBdr>
        <w:top w:val="none" w:sz="0" w:space="0" w:color="auto"/>
        <w:left w:val="none" w:sz="0" w:space="0" w:color="auto"/>
        <w:bottom w:val="none" w:sz="0" w:space="0" w:color="auto"/>
        <w:right w:val="none" w:sz="0" w:space="0" w:color="auto"/>
      </w:divBdr>
    </w:div>
    <w:div w:id="950236827">
      <w:bodyDiv w:val="1"/>
      <w:marLeft w:val="0"/>
      <w:marRight w:val="0"/>
      <w:marTop w:val="0"/>
      <w:marBottom w:val="0"/>
      <w:divBdr>
        <w:top w:val="none" w:sz="0" w:space="0" w:color="auto"/>
        <w:left w:val="none" w:sz="0" w:space="0" w:color="auto"/>
        <w:bottom w:val="none" w:sz="0" w:space="0" w:color="auto"/>
        <w:right w:val="none" w:sz="0" w:space="0" w:color="auto"/>
      </w:divBdr>
    </w:div>
    <w:div w:id="957640648">
      <w:bodyDiv w:val="1"/>
      <w:marLeft w:val="0"/>
      <w:marRight w:val="0"/>
      <w:marTop w:val="0"/>
      <w:marBottom w:val="0"/>
      <w:divBdr>
        <w:top w:val="none" w:sz="0" w:space="0" w:color="auto"/>
        <w:left w:val="none" w:sz="0" w:space="0" w:color="auto"/>
        <w:bottom w:val="none" w:sz="0" w:space="0" w:color="auto"/>
        <w:right w:val="none" w:sz="0" w:space="0" w:color="auto"/>
      </w:divBdr>
    </w:div>
    <w:div w:id="982738243">
      <w:bodyDiv w:val="1"/>
      <w:marLeft w:val="0"/>
      <w:marRight w:val="0"/>
      <w:marTop w:val="0"/>
      <w:marBottom w:val="0"/>
      <w:divBdr>
        <w:top w:val="none" w:sz="0" w:space="0" w:color="auto"/>
        <w:left w:val="none" w:sz="0" w:space="0" w:color="auto"/>
        <w:bottom w:val="none" w:sz="0" w:space="0" w:color="auto"/>
        <w:right w:val="none" w:sz="0" w:space="0" w:color="auto"/>
      </w:divBdr>
    </w:div>
    <w:div w:id="984089141">
      <w:bodyDiv w:val="1"/>
      <w:marLeft w:val="0"/>
      <w:marRight w:val="0"/>
      <w:marTop w:val="0"/>
      <w:marBottom w:val="0"/>
      <w:divBdr>
        <w:top w:val="none" w:sz="0" w:space="0" w:color="auto"/>
        <w:left w:val="none" w:sz="0" w:space="0" w:color="auto"/>
        <w:bottom w:val="none" w:sz="0" w:space="0" w:color="auto"/>
        <w:right w:val="none" w:sz="0" w:space="0" w:color="auto"/>
      </w:divBdr>
    </w:div>
    <w:div w:id="987444728">
      <w:bodyDiv w:val="1"/>
      <w:marLeft w:val="0"/>
      <w:marRight w:val="0"/>
      <w:marTop w:val="0"/>
      <w:marBottom w:val="0"/>
      <w:divBdr>
        <w:top w:val="none" w:sz="0" w:space="0" w:color="auto"/>
        <w:left w:val="none" w:sz="0" w:space="0" w:color="auto"/>
        <w:bottom w:val="none" w:sz="0" w:space="0" w:color="auto"/>
        <w:right w:val="none" w:sz="0" w:space="0" w:color="auto"/>
      </w:divBdr>
    </w:div>
    <w:div w:id="1002515756">
      <w:bodyDiv w:val="1"/>
      <w:marLeft w:val="0"/>
      <w:marRight w:val="0"/>
      <w:marTop w:val="0"/>
      <w:marBottom w:val="0"/>
      <w:divBdr>
        <w:top w:val="none" w:sz="0" w:space="0" w:color="auto"/>
        <w:left w:val="none" w:sz="0" w:space="0" w:color="auto"/>
        <w:bottom w:val="none" w:sz="0" w:space="0" w:color="auto"/>
        <w:right w:val="none" w:sz="0" w:space="0" w:color="auto"/>
      </w:divBdr>
    </w:div>
    <w:div w:id="1009454185">
      <w:bodyDiv w:val="1"/>
      <w:marLeft w:val="0"/>
      <w:marRight w:val="0"/>
      <w:marTop w:val="0"/>
      <w:marBottom w:val="0"/>
      <w:divBdr>
        <w:top w:val="none" w:sz="0" w:space="0" w:color="auto"/>
        <w:left w:val="none" w:sz="0" w:space="0" w:color="auto"/>
        <w:bottom w:val="none" w:sz="0" w:space="0" w:color="auto"/>
        <w:right w:val="none" w:sz="0" w:space="0" w:color="auto"/>
      </w:divBdr>
    </w:div>
    <w:div w:id="1015107429">
      <w:bodyDiv w:val="1"/>
      <w:marLeft w:val="0"/>
      <w:marRight w:val="0"/>
      <w:marTop w:val="0"/>
      <w:marBottom w:val="0"/>
      <w:divBdr>
        <w:top w:val="none" w:sz="0" w:space="0" w:color="auto"/>
        <w:left w:val="none" w:sz="0" w:space="0" w:color="auto"/>
        <w:bottom w:val="none" w:sz="0" w:space="0" w:color="auto"/>
        <w:right w:val="none" w:sz="0" w:space="0" w:color="auto"/>
      </w:divBdr>
    </w:div>
    <w:div w:id="1016158427">
      <w:bodyDiv w:val="1"/>
      <w:marLeft w:val="0"/>
      <w:marRight w:val="0"/>
      <w:marTop w:val="0"/>
      <w:marBottom w:val="0"/>
      <w:divBdr>
        <w:top w:val="none" w:sz="0" w:space="0" w:color="auto"/>
        <w:left w:val="none" w:sz="0" w:space="0" w:color="auto"/>
        <w:bottom w:val="none" w:sz="0" w:space="0" w:color="auto"/>
        <w:right w:val="none" w:sz="0" w:space="0" w:color="auto"/>
      </w:divBdr>
    </w:div>
    <w:div w:id="1021735472">
      <w:bodyDiv w:val="1"/>
      <w:marLeft w:val="0"/>
      <w:marRight w:val="0"/>
      <w:marTop w:val="0"/>
      <w:marBottom w:val="0"/>
      <w:divBdr>
        <w:top w:val="none" w:sz="0" w:space="0" w:color="auto"/>
        <w:left w:val="none" w:sz="0" w:space="0" w:color="auto"/>
        <w:bottom w:val="none" w:sz="0" w:space="0" w:color="auto"/>
        <w:right w:val="none" w:sz="0" w:space="0" w:color="auto"/>
      </w:divBdr>
    </w:div>
    <w:div w:id="1022785029">
      <w:bodyDiv w:val="1"/>
      <w:marLeft w:val="0"/>
      <w:marRight w:val="0"/>
      <w:marTop w:val="0"/>
      <w:marBottom w:val="0"/>
      <w:divBdr>
        <w:top w:val="none" w:sz="0" w:space="0" w:color="auto"/>
        <w:left w:val="none" w:sz="0" w:space="0" w:color="auto"/>
        <w:bottom w:val="none" w:sz="0" w:space="0" w:color="auto"/>
        <w:right w:val="none" w:sz="0" w:space="0" w:color="auto"/>
      </w:divBdr>
    </w:div>
    <w:div w:id="1024089633">
      <w:bodyDiv w:val="1"/>
      <w:marLeft w:val="0"/>
      <w:marRight w:val="0"/>
      <w:marTop w:val="0"/>
      <w:marBottom w:val="0"/>
      <w:divBdr>
        <w:top w:val="none" w:sz="0" w:space="0" w:color="auto"/>
        <w:left w:val="none" w:sz="0" w:space="0" w:color="auto"/>
        <w:bottom w:val="none" w:sz="0" w:space="0" w:color="auto"/>
        <w:right w:val="none" w:sz="0" w:space="0" w:color="auto"/>
      </w:divBdr>
    </w:div>
    <w:div w:id="1028020643">
      <w:bodyDiv w:val="1"/>
      <w:marLeft w:val="0"/>
      <w:marRight w:val="0"/>
      <w:marTop w:val="0"/>
      <w:marBottom w:val="0"/>
      <w:divBdr>
        <w:top w:val="none" w:sz="0" w:space="0" w:color="auto"/>
        <w:left w:val="none" w:sz="0" w:space="0" w:color="auto"/>
        <w:bottom w:val="none" w:sz="0" w:space="0" w:color="auto"/>
        <w:right w:val="none" w:sz="0" w:space="0" w:color="auto"/>
      </w:divBdr>
    </w:div>
    <w:div w:id="1044871578">
      <w:bodyDiv w:val="1"/>
      <w:marLeft w:val="0"/>
      <w:marRight w:val="0"/>
      <w:marTop w:val="0"/>
      <w:marBottom w:val="0"/>
      <w:divBdr>
        <w:top w:val="none" w:sz="0" w:space="0" w:color="auto"/>
        <w:left w:val="none" w:sz="0" w:space="0" w:color="auto"/>
        <w:bottom w:val="none" w:sz="0" w:space="0" w:color="auto"/>
        <w:right w:val="none" w:sz="0" w:space="0" w:color="auto"/>
      </w:divBdr>
      <w:divsChild>
        <w:div w:id="1627274312">
          <w:marLeft w:val="0"/>
          <w:marRight w:val="0"/>
          <w:marTop w:val="0"/>
          <w:marBottom w:val="0"/>
          <w:divBdr>
            <w:top w:val="none" w:sz="0" w:space="0" w:color="auto"/>
            <w:left w:val="none" w:sz="0" w:space="0" w:color="auto"/>
            <w:bottom w:val="none" w:sz="0" w:space="0" w:color="auto"/>
            <w:right w:val="none" w:sz="0" w:space="0" w:color="auto"/>
          </w:divBdr>
          <w:divsChild>
            <w:div w:id="186257839">
              <w:marLeft w:val="0"/>
              <w:marRight w:val="0"/>
              <w:marTop w:val="0"/>
              <w:marBottom w:val="0"/>
              <w:divBdr>
                <w:top w:val="none" w:sz="0" w:space="0" w:color="auto"/>
                <w:left w:val="none" w:sz="0" w:space="0" w:color="auto"/>
                <w:bottom w:val="none" w:sz="0" w:space="0" w:color="auto"/>
                <w:right w:val="none" w:sz="0" w:space="0" w:color="auto"/>
              </w:divBdr>
              <w:divsChild>
                <w:div w:id="1896433472">
                  <w:marLeft w:val="0"/>
                  <w:marRight w:val="0"/>
                  <w:marTop w:val="0"/>
                  <w:marBottom w:val="0"/>
                  <w:divBdr>
                    <w:top w:val="none" w:sz="0" w:space="0" w:color="auto"/>
                    <w:left w:val="none" w:sz="0" w:space="0" w:color="auto"/>
                    <w:bottom w:val="none" w:sz="0" w:space="0" w:color="auto"/>
                    <w:right w:val="none" w:sz="0" w:space="0" w:color="auto"/>
                  </w:divBdr>
                  <w:divsChild>
                    <w:div w:id="1770155729">
                      <w:marLeft w:val="0"/>
                      <w:marRight w:val="0"/>
                      <w:marTop w:val="0"/>
                      <w:marBottom w:val="0"/>
                      <w:divBdr>
                        <w:top w:val="none" w:sz="0" w:space="0" w:color="auto"/>
                        <w:left w:val="none" w:sz="0" w:space="0" w:color="auto"/>
                        <w:bottom w:val="none" w:sz="0" w:space="0" w:color="auto"/>
                        <w:right w:val="none" w:sz="0" w:space="0" w:color="auto"/>
                      </w:divBdr>
                    </w:div>
                    <w:div w:id="209527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98233">
              <w:marLeft w:val="0"/>
              <w:marRight w:val="0"/>
              <w:marTop w:val="0"/>
              <w:marBottom w:val="0"/>
              <w:divBdr>
                <w:top w:val="none" w:sz="0" w:space="0" w:color="auto"/>
                <w:left w:val="none" w:sz="0" w:space="0" w:color="auto"/>
                <w:bottom w:val="none" w:sz="0" w:space="0" w:color="auto"/>
                <w:right w:val="none" w:sz="0" w:space="0" w:color="auto"/>
              </w:divBdr>
              <w:divsChild>
                <w:div w:id="83842872">
                  <w:marLeft w:val="0"/>
                  <w:marRight w:val="0"/>
                  <w:marTop w:val="0"/>
                  <w:marBottom w:val="0"/>
                  <w:divBdr>
                    <w:top w:val="none" w:sz="0" w:space="0" w:color="auto"/>
                    <w:left w:val="none" w:sz="0" w:space="0" w:color="auto"/>
                    <w:bottom w:val="none" w:sz="0" w:space="0" w:color="auto"/>
                    <w:right w:val="none" w:sz="0" w:space="0" w:color="auto"/>
                  </w:divBdr>
                  <w:divsChild>
                    <w:div w:id="838273725">
                      <w:marLeft w:val="0"/>
                      <w:marRight w:val="0"/>
                      <w:marTop w:val="0"/>
                      <w:marBottom w:val="0"/>
                      <w:divBdr>
                        <w:top w:val="none" w:sz="0" w:space="0" w:color="auto"/>
                        <w:left w:val="none" w:sz="0" w:space="0" w:color="auto"/>
                        <w:bottom w:val="none" w:sz="0" w:space="0" w:color="auto"/>
                        <w:right w:val="none" w:sz="0" w:space="0" w:color="auto"/>
                      </w:divBdr>
                    </w:div>
                  </w:divsChild>
                </w:div>
                <w:div w:id="1398744524">
                  <w:marLeft w:val="0"/>
                  <w:marRight w:val="0"/>
                  <w:marTop w:val="0"/>
                  <w:marBottom w:val="0"/>
                  <w:divBdr>
                    <w:top w:val="none" w:sz="0" w:space="0" w:color="auto"/>
                    <w:left w:val="none" w:sz="0" w:space="0" w:color="auto"/>
                    <w:bottom w:val="none" w:sz="0" w:space="0" w:color="auto"/>
                    <w:right w:val="none" w:sz="0" w:space="0" w:color="auto"/>
                  </w:divBdr>
                  <w:divsChild>
                    <w:div w:id="16858645">
                      <w:marLeft w:val="0"/>
                      <w:marRight w:val="0"/>
                      <w:marTop w:val="0"/>
                      <w:marBottom w:val="0"/>
                      <w:divBdr>
                        <w:top w:val="none" w:sz="0" w:space="0" w:color="auto"/>
                        <w:left w:val="none" w:sz="0" w:space="0" w:color="auto"/>
                        <w:bottom w:val="none" w:sz="0" w:space="0" w:color="auto"/>
                        <w:right w:val="none" w:sz="0" w:space="0" w:color="auto"/>
                      </w:divBdr>
                    </w:div>
                  </w:divsChild>
                </w:div>
                <w:div w:id="2106610874">
                  <w:marLeft w:val="0"/>
                  <w:marRight w:val="0"/>
                  <w:marTop w:val="0"/>
                  <w:marBottom w:val="0"/>
                  <w:divBdr>
                    <w:top w:val="none" w:sz="0" w:space="0" w:color="auto"/>
                    <w:left w:val="none" w:sz="0" w:space="0" w:color="auto"/>
                    <w:bottom w:val="none" w:sz="0" w:space="0" w:color="auto"/>
                    <w:right w:val="none" w:sz="0" w:space="0" w:color="auto"/>
                  </w:divBdr>
                  <w:divsChild>
                    <w:div w:id="59035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536896">
              <w:marLeft w:val="0"/>
              <w:marRight w:val="0"/>
              <w:marTop w:val="0"/>
              <w:marBottom w:val="0"/>
              <w:divBdr>
                <w:top w:val="none" w:sz="0" w:space="0" w:color="auto"/>
                <w:left w:val="none" w:sz="0" w:space="0" w:color="auto"/>
                <w:bottom w:val="none" w:sz="0" w:space="0" w:color="auto"/>
                <w:right w:val="none" w:sz="0" w:space="0" w:color="auto"/>
              </w:divBdr>
              <w:divsChild>
                <w:div w:id="1722171047">
                  <w:marLeft w:val="0"/>
                  <w:marRight w:val="0"/>
                  <w:marTop w:val="0"/>
                  <w:marBottom w:val="0"/>
                  <w:divBdr>
                    <w:top w:val="none" w:sz="0" w:space="0" w:color="auto"/>
                    <w:left w:val="none" w:sz="0" w:space="0" w:color="auto"/>
                    <w:bottom w:val="none" w:sz="0" w:space="0" w:color="auto"/>
                    <w:right w:val="none" w:sz="0" w:space="0" w:color="auto"/>
                  </w:divBdr>
                </w:div>
              </w:divsChild>
            </w:div>
            <w:div w:id="939486462">
              <w:marLeft w:val="0"/>
              <w:marRight w:val="0"/>
              <w:marTop w:val="0"/>
              <w:marBottom w:val="0"/>
              <w:divBdr>
                <w:top w:val="none" w:sz="0" w:space="0" w:color="auto"/>
                <w:left w:val="none" w:sz="0" w:space="0" w:color="auto"/>
                <w:bottom w:val="none" w:sz="0" w:space="0" w:color="auto"/>
                <w:right w:val="none" w:sz="0" w:space="0" w:color="auto"/>
              </w:divBdr>
              <w:divsChild>
                <w:div w:id="890770123">
                  <w:marLeft w:val="0"/>
                  <w:marRight w:val="0"/>
                  <w:marTop w:val="0"/>
                  <w:marBottom w:val="0"/>
                  <w:divBdr>
                    <w:top w:val="none" w:sz="0" w:space="0" w:color="auto"/>
                    <w:left w:val="none" w:sz="0" w:space="0" w:color="auto"/>
                    <w:bottom w:val="none" w:sz="0" w:space="0" w:color="auto"/>
                    <w:right w:val="none" w:sz="0" w:space="0" w:color="auto"/>
                  </w:divBdr>
                  <w:divsChild>
                    <w:div w:id="423842566">
                      <w:marLeft w:val="0"/>
                      <w:marRight w:val="0"/>
                      <w:marTop w:val="0"/>
                      <w:marBottom w:val="0"/>
                      <w:divBdr>
                        <w:top w:val="none" w:sz="0" w:space="0" w:color="auto"/>
                        <w:left w:val="none" w:sz="0" w:space="0" w:color="auto"/>
                        <w:bottom w:val="none" w:sz="0" w:space="0" w:color="auto"/>
                        <w:right w:val="none" w:sz="0" w:space="0" w:color="auto"/>
                      </w:divBdr>
                    </w:div>
                  </w:divsChild>
                </w:div>
                <w:div w:id="1421101112">
                  <w:marLeft w:val="0"/>
                  <w:marRight w:val="0"/>
                  <w:marTop w:val="0"/>
                  <w:marBottom w:val="0"/>
                  <w:divBdr>
                    <w:top w:val="none" w:sz="0" w:space="0" w:color="auto"/>
                    <w:left w:val="none" w:sz="0" w:space="0" w:color="auto"/>
                    <w:bottom w:val="none" w:sz="0" w:space="0" w:color="auto"/>
                    <w:right w:val="none" w:sz="0" w:space="0" w:color="auto"/>
                  </w:divBdr>
                  <w:divsChild>
                    <w:div w:id="656499267">
                      <w:marLeft w:val="0"/>
                      <w:marRight w:val="0"/>
                      <w:marTop w:val="0"/>
                      <w:marBottom w:val="0"/>
                      <w:divBdr>
                        <w:top w:val="none" w:sz="0" w:space="0" w:color="auto"/>
                        <w:left w:val="none" w:sz="0" w:space="0" w:color="auto"/>
                        <w:bottom w:val="none" w:sz="0" w:space="0" w:color="auto"/>
                        <w:right w:val="none" w:sz="0" w:space="0" w:color="auto"/>
                      </w:divBdr>
                    </w:div>
                  </w:divsChild>
                </w:div>
                <w:div w:id="1614552854">
                  <w:marLeft w:val="0"/>
                  <w:marRight w:val="0"/>
                  <w:marTop w:val="0"/>
                  <w:marBottom w:val="0"/>
                  <w:divBdr>
                    <w:top w:val="none" w:sz="0" w:space="0" w:color="auto"/>
                    <w:left w:val="none" w:sz="0" w:space="0" w:color="auto"/>
                    <w:bottom w:val="none" w:sz="0" w:space="0" w:color="auto"/>
                    <w:right w:val="none" w:sz="0" w:space="0" w:color="auto"/>
                  </w:divBdr>
                  <w:divsChild>
                    <w:div w:id="214573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2435">
              <w:marLeft w:val="0"/>
              <w:marRight w:val="0"/>
              <w:marTop w:val="0"/>
              <w:marBottom w:val="0"/>
              <w:divBdr>
                <w:top w:val="none" w:sz="0" w:space="0" w:color="auto"/>
                <w:left w:val="none" w:sz="0" w:space="0" w:color="auto"/>
                <w:bottom w:val="none" w:sz="0" w:space="0" w:color="auto"/>
                <w:right w:val="none" w:sz="0" w:space="0" w:color="auto"/>
              </w:divBdr>
              <w:divsChild>
                <w:div w:id="409469248">
                  <w:marLeft w:val="0"/>
                  <w:marRight w:val="0"/>
                  <w:marTop w:val="0"/>
                  <w:marBottom w:val="0"/>
                  <w:divBdr>
                    <w:top w:val="none" w:sz="0" w:space="0" w:color="auto"/>
                    <w:left w:val="none" w:sz="0" w:space="0" w:color="auto"/>
                    <w:bottom w:val="none" w:sz="0" w:space="0" w:color="auto"/>
                    <w:right w:val="none" w:sz="0" w:space="0" w:color="auto"/>
                  </w:divBdr>
                  <w:divsChild>
                    <w:div w:id="1919288651">
                      <w:marLeft w:val="0"/>
                      <w:marRight w:val="0"/>
                      <w:marTop w:val="0"/>
                      <w:marBottom w:val="0"/>
                      <w:divBdr>
                        <w:top w:val="none" w:sz="0" w:space="0" w:color="auto"/>
                        <w:left w:val="none" w:sz="0" w:space="0" w:color="auto"/>
                        <w:bottom w:val="none" w:sz="0" w:space="0" w:color="auto"/>
                        <w:right w:val="none" w:sz="0" w:space="0" w:color="auto"/>
                      </w:divBdr>
                    </w:div>
                  </w:divsChild>
                </w:div>
                <w:div w:id="415710888">
                  <w:marLeft w:val="0"/>
                  <w:marRight w:val="0"/>
                  <w:marTop w:val="0"/>
                  <w:marBottom w:val="0"/>
                  <w:divBdr>
                    <w:top w:val="none" w:sz="0" w:space="0" w:color="auto"/>
                    <w:left w:val="none" w:sz="0" w:space="0" w:color="auto"/>
                    <w:bottom w:val="none" w:sz="0" w:space="0" w:color="auto"/>
                    <w:right w:val="none" w:sz="0" w:space="0" w:color="auto"/>
                  </w:divBdr>
                  <w:divsChild>
                    <w:div w:id="7524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341895">
              <w:marLeft w:val="0"/>
              <w:marRight w:val="0"/>
              <w:marTop w:val="0"/>
              <w:marBottom w:val="0"/>
              <w:divBdr>
                <w:top w:val="none" w:sz="0" w:space="0" w:color="auto"/>
                <w:left w:val="none" w:sz="0" w:space="0" w:color="auto"/>
                <w:bottom w:val="none" w:sz="0" w:space="0" w:color="auto"/>
                <w:right w:val="none" w:sz="0" w:space="0" w:color="auto"/>
              </w:divBdr>
              <w:divsChild>
                <w:div w:id="695620213">
                  <w:marLeft w:val="0"/>
                  <w:marRight w:val="0"/>
                  <w:marTop w:val="0"/>
                  <w:marBottom w:val="0"/>
                  <w:divBdr>
                    <w:top w:val="none" w:sz="0" w:space="0" w:color="auto"/>
                    <w:left w:val="none" w:sz="0" w:space="0" w:color="auto"/>
                    <w:bottom w:val="none" w:sz="0" w:space="0" w:color="auto"/>
                    <w:right w:val="none" w:sz="0" w:space="0" w:color="auto"/>
                  </w:divBdr>
                  <w:divsChild>
                    <w:div w:id="1010988718">
                      <w:marLeft w:val="0"/>
                      <w:marRight w:val="0"/>
                      <w:marTop w:val="0"/>
                      <w:marBottom w:val="0"/>
                      <w:divBdr>
                        <w:top w:val="none" w:sz="0" w:space="0" w:color="auto"/>
                        <w:left w:val="none" w:sz="0" w:space="0" w:color="auto"/>
                        <w:bottom w:val="none" w:sz="0" w:space="0" w:color="auto"/>
                        <w:right w:val="none" w:sz="0" w:space="0" w:color="auto"/>
                      </w:divBdr>
                    </w:div>
                  </w:divsChild>
                </w:div>
                <w:div w:id="1049065553">
                  <w:marLeft w:val="0"/>
                  <w:marRight w:val="0"/>
                  <w:marTop w:val="0"/>
                  <w:marBottom w:val="0"/>
                  <w:divBdr>
                    <w:top w:val="none" w:sz="0" w:space="0" w:color="auto"/>
                    <w:left w:val="none" w:sz="0" w:space="0" w:color="auto"/>
                    <w:bottom w:val="none" w:sz="0" w:space="0" w:color="auto"/>
                    <w:right w:val="none" w:sz="0" w:space="0" w:color="auto"/>
                  </w:divBdr>
                  <w:divsChild>
                    <w:div w:id="2009746429">
                      <w:marLeft w:val="0"/>
                      <w:marRight w:val="0"/>
                      <w:marTop w:val="0"/>
                      <w:marBottom w:val="0"/>
                      <w:divBdr>
                        <w:top w:val="none" w:sz="0" w:space="0" w:color="auto"/>
                        <w:left w:val="none" w:sz="0" w:space="0" w:color="auto"/>
                        <w:bottom w:val="none" w:sz="0" w:space="0" w:color="auto"/>
                        <w:right w:val="none" w:sz="0" w:space="0" w:color="auto"/>
                      </w:divBdr>
                    </w:div>
                  </w:divsChild>
                </w:div>
                <w:div w:id="1401555563">
                  <w:marLeft w:val="0"/>
                  <w:marRight w:val="0"/>
                  <w:marTop w:val="0"/>
                  <w:marBottom w:val="0"/>
                  <w:divBdr>
                    <w:top w:val="none" w:sz="0" w:space="0" w:color="auto"/>
                    <w:left w:val="none" w:sz="0" w:space="0" w:color="auto"/>
                    <w:bottom w:val="none" w:sz="0" w:space="0" w:color="auto"/>
                    <w:right w:val="none" w:sz="0" w:space="0" w:color="auto"/>
                  </w:divBdr>
                  <w:divsChild>
                    <w:div w:id="190290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053494">
      <w:bodyDiv w:val="1"/>
      <w:marLeft w:val="0"/>
      <w:marRight w:val="0"/>
      <w:marTop w:val="0"/>
      <w:marBottom w:val="0"/>
      <w:divBdr>
        <w:top w:val="none" w:sz="0" w:space="0" w:color="auto"/>
        <w:left w:val="none" w:sz="0" w:space="0" w:color="auto"/>
        <w:bottom w:val="none" w:sz="0" w:space="0" w:color="auto"/>
        <w:right w:val="none" w:sz="0" w:space="0" w:color="auto"/>
      </w:divBdr>
    </w:div>
    <w:div w:id="1069156293">
      <w:bodyDiv w:val="1"/>
      <w:marLeft w:val="0"/>
      <w:marRight w:val="0"/>
      <w:marTop w:val="0"/>
      <w:marBottom w:val="0"/>
      <w:divBdr>
        <w:top w:val="none" w:sz="0" w:space="0" w:color="auto"/>
        <w:left w:val="none" w:sz="0" w:space="0" w:color="auto"/>
        <w:bottom w:val="none" w:sz="0" w:space="0" w:color="auto"/>
        <w:right w:val="none" w:sz="0" w:space="0" w:color="auto"/>
      </w:divBdr>
    </w:div>
    <w:div w:id="1070612550">
      <w:bodyDiv w:val="1"/>
      <w:marLeft w:val="0"/>
      <w:marRight w:val="0"/>
      <w:marTop w:val="0"/>
      <w:marBottom w:val="0"/>
      <w:divBdr>
        <w:top w:val="none" w:sz="0" w:space="0" w:color="auto"/>
        <w:left w:val="none" w:sz="0" w:space="0" w:color="auto"/>
        <w:bottom w:val="none" w:sz="0" w:space="0" w:color="auto"/>
        <w:right w:val="none" w:sz="0" w:space="0" w:color="auto"/>
      </w:divBdr>
    </w:div>
    <w:div w:id="1081564964">
      <w:bodyDiv w:val="1"/>
      <w:marLeft w:val="0"/>
      <w:marRight w:val="0"/>
      <w:marTop w:val="0"/>
      <w:marBottom w:val="0"/>
      <w:divBdr>
        <w:top w:val="none" w:sz="0" w:space="0" w:color="auto"/>
        <w:left w:val="none" w:sz="0" w:space="0" w:color="auto"/>
        <w:bottom w:val="none" w:sz="0" w:space="0" w:color="auto"/>
        <w:right w:val="none" w:sz="0" w:space="0" w:color="auto"/>
      </w:divBdr>
    </w:div>
    <w:div w:id="1088498961">
      <w:bodyDiv w:val="1"/>
      <w:marLeft w:val="0"/>
      <w:marRight w:val="0"/>
      <w:marTop w:val="0"/>
      <w:marBottom w:val="0"/>
      <w:divBdr>
        <w:top w:val="none" w:sz="0" w:space="0" w:color="auto"/>
        <w:left w:val="none" w:sz="0" w:space="0" w:color="auto"/>
        <w:bottom w:val="none" w:sz="0" w:space="0" w:color="auto"/>
        <w:right w:val="none" w:sz="0" w:space="0" w:color="auto"/>
      </w:divBdr>
    </w:div>
    <w:div w:id="1098982280">
      <w:bodyDiv w:val="1"/>
      <w:marLeft w:val="0"/>
      <w:marRight w:val="0"/>
      <w:marTop w:val="0"/>
      <w:marBottom w:val="0"/>
      <w:divBdr>
        <w:top w:val="none" w:sz="0" w:space="0" w:color="auto"/>
        <w:left w:val="none" w:sz="0" w:space="0" w:color="auto"/>
        <w:bottom w:val="none" w:sz="0" w:space="0" w:color="auto"/>
        <w:right w:val="none" w:sz="0" w:space="0" w:color="auto"/>
      </w:divBdr>
    </w:div>
    <w:div w:id="1104494202">
      <w:bodyDiv w:val="1"/>
      <w:marLeft w:val="0"/>
      <w:marRight w:val="0"/>
      <w:marTop w:val="0"/>
      <w:marBottom w:val="0"/>
      <w:divBdr>
        <w:top w:val="none" w:sz="0" w:space="0" w:color="auto"/>
        <w:left w:val="none" w:sz="0" w:space="0" w:color="auto"/>
        <w:bottom w:val="none" w:sz="0" w:space="0" w:color="auto"/>
        <w:right w:val="none" w:sz="0" w:space="0" w:color="auto"/>
      </w:divBdr>
    </w:div>
    <w:div w:id="1118135352">
      <w:bodyDiv w:val="1"/>
      <w:marLeft w:val="0"/>
      <w:marRight w:val="0"/>
      <w:marTop w:val="0"/>
      <w:marBottom w:val="0"/>
      <w:divBdr>
        <w:top w:val="none" w:sz="0" w:space="0" w:color="auto"/>
        <w:left w:val="none" w:sz="0" w:space="0" w:color="auto"/>
        <w:bottom w:val="none" w:sz="0" w:space="0" w:color="auto"/>
        <w:right w:val="none" w:sz="0" w:space="0" w:color="auto"/>
      </w:divBdr>
    </w:div>
    <w:div w:id="1126465231">
      <w:bodyDiv w:val="1"/>
      <w:marLeft w:val="0"/>
      <w:marRight w:val="0"/>
      <w:marTop w:val="0"/>
      <w:marBottom w:val="0"/>
      <w:divBdr>
        <w:top w:val="none" w:sz="0" w:space="0" w:color="auto"/>
        <w:left w:val="none" w:sz="0" w:space="0" w:color="auto"/>
        <w:bottom w:val="none" w:sz="0" w:space="0" w:color="auto"/>
        <w:right w:val="none" w:sz="0" w:space="0" w:color="auto"/>
      </w:divBdr>
      <w:divsChild>
        <w:div w:id="958530355">
          <w:marLeft w:val="0"/>
          <w:marRight w:val="0"/>
          <w:marTop w:val="0"/>
          <w:marBottom w:val="0"/>
          <w:divBdr>
            <w:top w:val="none" w:sz="0" w:space="0" w:color="auto"/>
            <w:left w:val="none" w:sz="0" w:space="0" w:color="auto"/>
            <w:bottom w:val="none" w:sz="0" w:space="0" w:color="auto"/>
            <w:right w:val="none" w:sz="0" w:space="0" w:color="auto"/>
          </w:divBdr>
          <w:divsChild>
            <w:div w:id="1121457565">
              <w:marLeft w:val="0"/>
              <w:marRight w:val="0"/>
              <w:marTop w:val="0"/>
              <w:marBottom w:val="0"/>
              <w:divBdr>
                <w:top w:val="none" w:sz="0" w:space="0" w:color="auto"/>
                <w:left w:val="none" w:sz="0" w:space="0" w:color="auto"/>
                <w:bottom w:val="none" w:sz="0" w:space="0" w:color="auto"/>
                <w:right w:val="none" w:sz="0" w:space="0" w:color="auto"/>
              </w:divBdr>
              <w:divsChild>
                <w:div w:id="21377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202291">
      <w:bodyDiv w:val="1"/>
      <w:marLeft w:val="0"/>
      <w:marRight w:val="0"/>
      <w:marTop w:val="0"/>
      <w:marBottom w:val="0"/>
      <w:divBdr>
        <w:top w:val="none" w:sz="0" w:space="0" w:color="auto"/>
        <w:left w:val="none" w:sz="0" w:space="0" w:color="auto"/>
        <w:bottom w:val="none" w:sz="0" w:space="0" w:color="auto"/>
        <w:right w:val="none" w:sz="0" w:space="0" w:color="auto"/>
      </w:divBdr>
      <w:divsChild>
        <w:div w:id="787966521">
          <w:marLeft w:val="0"/>
          <w:marRight w:val="0"/>
          <w:marTop w:val="0"/>
          <w:marBottom w:val="0"/>
          <w:divBdr>
            <w:top w:val="none" w:sz="0" w:space="0" w:color="auto"/>
            <w:left w:val="none" w:sz="0" w:space="0" w:color="auto"/>
            <w:bottom w:val="none" w:sz="0" w:space="0" w:color="auto"/>
            <w:right w:val="none" w:sz="0" w:space="0" w:color="auto"/>
          </w:divBdr>
          <w:divsChild>
            <w:div w:id="244918823">
              <w:marLeft w:val="0"/>
              <w:marRight w:val="0"/>
              <w:marTop w:val="0"/>
              <w:marBottom w:val="0"/>
              <w:divBdr>
                <w:top w:val="none" w:sz="0" w:space="0" w:color="auto"/>
                <w:left w:val="none" w:sz="0" w:space="0" w:color="auto"/>
                <w:bottom w:val="none" w:sz="0" w:space="0" w:color="auto"/>
                <w:right w:val="none" w:sz="0" w:space="0" w:color="auto"/>
              </w:divBdr>
              <w:divsChild>
                <w:div w:id="114642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684906">
      <w:bodyDiv w:val="1"/>
      <w:marLeft w:val="0"/>
      <w:marRight w:val="0"/>
      <w:marTop w:val="0"/>
      <w:marBottom w:val="0"/>
      <w:divBdr>
        <w:top w:val="none" w:sz="0" w:space="0" w:color="auto"/>
        <w:left w:val="none" w:sz="0" w:space="0" w:color="auto"/>
        <w:bottom w:val="none" w:sz="0" w:space="0" w:color="auto"/>
        <w:right w:val="none" w:sz="0" w:space="0" w:color="auto"/>
      </w:divBdr>
      <w:divsChild>
        <w:div w:id="1953129577">
          <w:marLeft w:val="0"/>
          <w:marRight w:val="0"/>
          <w:marTop w:val="0"/>
          <w:marBottom w:val="0"/>
          <w:divBdr>
            <w:top w:val="none" w:sz="0" w:space="0" w:color="auto"/>
            <w:left w:val="none" w:sz="0" w:space="0" w:color="auto"/>
            <w:bottom w:val="none" w:sz="0" w:space="0" w:color="auto"/>
            <w:right w:val="none" w:sz="0" w:space="0" w:color="auto"/>
          </w:divBdr>
          <w:divsChild>
            <w:div w:id="1012685660">
              <w:marLeft w:val="0"/>
              <w:marRight w:val="0"/>
              <w:marTop w:val="0"/>
              <w:marBottom w:val="0"/>
              <w:divBdr>
                <w:top w:val="none" w:sz="0" w:space="0" w:color="auto"/>
                <w:left w:val="none" w:sz="0" w:space="0" w:color="auto"/>
                <w:bottom w:val="none" w:sz="0" w:space="0" w:color="auto"/>
                <w:right w:val="none" w:sz="0" w:space="0" w:color="auto"/>
              </w:divBdr>
              <w:divsChild>
                <w:div w:id="1479420912">
                  <w:marLeft w:val="0"/>
                  <w:marRight w:val="0"/>
                  <w:marTop w:val="0"/>
                  <w:marBottom w:val="0"/>
                  <w:divBdr>
                    <w:top w:val="none" w:sz="0" w:space="0" w:color="auto"/>
                    <w:left w:val="none" w:sz="0" w:space="0" w:color="auto"/>
                    <w:bottom w:val="none" w:sz="0" w:space="0" w:color="auto"/>
                    <w:right w:val="none" w:sz="0" w:space="0" w:color="auto"/>
                  </w:divBdr>
                  <w:divsChild>
                    <w:div w:id="176869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901111">
      <w:bodyDiv w:val="1"/>
      <w:marLeft w:val="0"/>
      <w:marRight w:val="0"/>
      <w:marTop w:val="0"/>
      <w:marBottom w:val="0"/>
      <w:divBdr>
        <w:top w:val="none" w:sz="0" w:space="0" w:color="auto"/>
        <w:left w:val="none" w:sz="0" w:space="0" w:color="auto"/>
        <w:bottom w:val="none" w:sz="0" w:space="0" w:color="auto"/>
        <w:right w:val="none" w:sz="0" w:space="0" w:color="auto"/>
      </w:divBdr>
    </w:div>
    <w:div w:id="1149394903">
      <w:bodyDiv w:val="1"/>
      <w:marLeft w:val="0"/>
      <w:marRight w:val="0"/>
      <w:marTop w:val="0"/>
      <w:marBottom w:val="0"/>
      <w:divBdr>
        <w:top w:val="none" w:sz="0" w:space="0" w:color="auto"/>
        <w:left w:val="none" w:sz="0" w:space="0" w:color="auto"/>
        <w:bottom w:val="none" w:sz="0" w:space="0" w:color="auto"/>
        <w:right w:val="none" w:sz="0" w:space="0" w:color="auto"/>
      </w:divBdr>
    </w:div>
    <w:div w:id="1152482722">
      <w:bodyDiv w:val="1"/>
      <w:marLeft w:val="0"/>
      <w:marRight w:val="0"/>
      <w:marTop w:val="0"/>
      <w:marBottom w:val="0"/>
      <w:divBdr>
        <w:top w:val="none" w:sz="0" w:space="0" w:color="auto"/>
        <w:left w:val="none" w:sz="0" w:space="0" w:color="auto"/>
        <w:bottom w:val="none" w:sz="0" w:space="0" w:color="auto"/>
        <w:right w:val="none" w:sz="0" w:space="0" w:color="auto"/>
      </w:divBdr>
      <w:divsChild>
        <w:div w:id="638801944">
          <w:marLeft w:val="0"/>
          <w:marRight w:val="0"/>
          <w:marTop w:val="0"/>
          <w:marBottom w:val="0"/>
          <w:divBdr>
            <w:top w:val="none" w:sz="0" w:space="0" w:color="auto"/>
            <w:left w:val="none" w:sz="0" w:space="0" w:color="auto"/>
            <w:bottom w:val="none" w:sz="0" w:space="0" w:color="auto"/>
            <w:right w:val="none" w:sz="0" w:space="0" w:color="auto"/>
          </w:divBdr>
          <w:divsChild>
            <w:div w:id="1010638557">
              <w:marLeft w:val="0"/>
              <w:marRight w:val="0"/>
              <w:marTop w:val="0"/>
              <w:marBottom w:val="0"/>
              <w:divBdr>
                <w:top w:val="none" w:sz="0" w:space="0" w:color="auto"/>
                <w:left w:val="none" w:sz="0" w:space="0" w:color="auto"/>
                <w:bottom w:val="none" w:sz="0" w:space="0" w:color="auto"/>
                <w:right w:val="none" w:sz="0" w:space="0" w:color="auto"/>
              </w:divBdr>
              <w:divsChild>
                <w:div w:id="17666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953832">
      <w:bodyDiv w:val="1"/>
      <w:marLeft w:val="0"/>
      <w:marRight w:val="0"/>
      <w:marTop w:val="0"/>
      <w:marBottom w:val="0"/>
      <w:divBdr>
        <w:top w:val="none" w:sz="0" w:space="0" w:color="auto"/>
        <w:left w:val="none" w:sz="0" w:space="0" w:color="auto"/>
        <w:bottom w:val="none" w:sz="0" w:space="0" w:color="auto"/>
        <w:right w:val="none" w:sz="0" w:space="0" w:color="auto"/>
      </w:divBdr>
      <w:divsChild>
        <w:div w:id="682778055">
          <w:marLeft w:val="0"/>
          <w:marRight w:val="0"/>
          <w:marTop w:val="0"/>
          <w:marBottom w:val="0"/>
          <w:divBdr>
            <w:top w:val="none" w:sz="0" w:space="0" w:color="auto"/>
            <w:left w:val="none" w:sz="0" w:space="0" w:color="auto"/>
            <w:bottom w:val="none" w:sz="0" w:space="0" w:color="auto"/>
            <w:right w:val="none" w:sz="0" w:space="0" w:color="auto"/>
          </w:divBdr>
          <w:divsChild>
            <w:div w:id="749154192">
              <w:marLeft w:val="0"/>
              <w:marRight w:val="0"/>
              <w:marTop w:val="0"/>
              <w:marBottom w:val="0"/>
              <w:divBdr>
                <w:top w:val="none" w:sz="0" w:space="0" w:color="auto"/>
                <w:left w:val="none" w:sz="0" w:space="0" w:color="auto"/>
                <w:bottom w:val="none" w:sz="0" w:space="0" w:color="auto"/>
                <w:right w:val="none" w:sz="0" w:space="0" w:color="auto"/>
              </w:divBdr>
              <w:divsChild>
                <w:div w:id="1024860814">
                  <w:marLeft w:val="0"/>
                  <w:marRight w:val="0"/>
                  <w:marTop w:val="0"/>
                  <w:marBottom w:val="0"/>
                  <w:divBdr>
                    <w:top w:val="none" w:sz="0" w:space="0" w:color="auto"/>
                    <w:left w:val="none" w:sz="0" w:space="0" w:color="auto"/>
                    <w:bottom w:val="none" w:sz="0" w:space="0" w:color="auto"/>
                    <w:right w:val="none" w:sz="0" w:space="0" w:color="auto"/>
                  </w:divBdr>
                </w:div>
              </w:divsChild>
            </w:div>
            <w:div w:id="1281376722">
              <w:marLeft w:val="0"/>
              <w:marRight w:val="0"/>
              <w:marTop w:val="0"/>
              <w:marBottom w:val="0"/>
              <w:divBdr>
                <w:top w:val="none" w:sz="0" w:space="0" w:color="auto"/>
                <w:left w:val="none" w:sz="0" w:space="0" w:color="auto"/>
                <w:bottom w:val="none" w:sz="0" w:space="0" w:color="auto"/>
                <w:right w:val="none" w:sz="0" w:space="0" w:color="auto"/>
              </w:divBdr>
              <w:divsChild>
                <w:div w:id="261958274">
                  <w:marLeft w:val="0"/>
                  <w:marRight w:val="0"/>
                  <w:marTop w:val="0"/>
                  <w:marBottom w:val="0"/>
                  <w:divBdr>
                    <w:top w:val="none" w:sz="0" w:space="0" w:color="auto"/>
                    <w:left w:val="none" w:sz="0" w:space="0" w:color="auto"/>
                    <w:bottom w:val="none" w:sz="0" w:space="0" w:color="auto"/>
                    <w:right w:val="none" w:sz="0" w:space="0" w:color="auto"/>
                  </w:divBdr>
                </w:div>
              </w:divsChild>
            </w:div>
            <w:div w:id="2023046043">
              <w:marLeft w:val="0"/>
              <w:marRight w:val="0"/>
              <w:marTop w:val="0"/>
              <w:marBottom w:val="0"/>
              <w:divBdr>
                <w:top w:val="none" w:sz="0" w:space="0" w:color="auto"/>
                <w:left w:val="none" w:sz="0" w:space="0" w:color="auto"/>
                <w:bottom w:val="none" w:sz="0" w:space="0" w:color="auto"/>
                <w:right w:val="none" w:sz="0" w:space="0" w:color="auto"/>
              </w:divBdr>
              <w:divsChild>
                <w:div w:id="8573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461418">
      <w:bodyDiv w:val="1"/>
      <w:marLeft w:val="0"/>
      <w:marRight w:val="0"/>
      <w:marTop w:val="0"/>
      <w:marBottom w:val="0"/>
      <w:divBdr>
        <w:top w:val="none" w:sz="0" w:space="0" w:color="auto"/>
        <w:left w:val="none" w:sz="0" w:space="0" w:color="auto"/>
        <w:bottom w:val="none" w:sz="0" w:space="0" w:color="auto"/>
        <w:right w:val="none" w:sz="0" w:space="0" w:color="auto"/>
      </w:divBdr>
      <w:divsChild>
        <w:div w:id="1855683958">
          <w:marLeft w:val="0"/>
          <w:marRight w:val="0"/>
          <w:marTop w:val="0"/>
          <w:marBottom w:val="0"/>
          <w:divBdr>
            <w:top w:val="none" w:sz="0" w:space="0" w:color="auto"/>
            <w:left w:val="none" w:sz="0" w:space="0" w:color="auto"/>
            <w:bottom w:val="none" w:sz="0" w:space="0" w:color="auto"/>
            <w:right w:val="none" w:sz="0" w:space="0" w:color="auto"/>
          </w:divBdr>
          <w:divsChild>
            <w:div w:id="2063674100">
              <w:marLeft w:val="0"/>
              <w:marRight w:val="0"/>
              <w:marTop w:val="0"/>
              <w:marBottom w:val="0"/>
              <w:divBdr>
                <w:top w:val="none" w:sz="0" w:space="0" w:color="auto"/>
                <w:left w:val="none" w:sz="0" w:space="0" w:color="auto"/>
                <w:bottom w:val="none" w:sz="0" w:space="0" w:color="auto"/>
                <w:right w:val="none" w:sz="0" w:space="0" w:color="auto"/>
              </w:divBdr>
              <w:divsChild>
                <w:div w:id="87146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232399">
      <w:bodyDiv w:val="1"/>
      <w:marLeft w:val="0"/>
      <w:marRight w:val="0"/>
      <w:marTop w:val="0"/>
      <w:marBottom w:val="0"/>
      <w:divBdr>
        <w:top w:val="none" w:sz="0" w:space="0" w:color="auto"/>
        <w:left w:val="none" w:sz="0" w:space="0" w:color="auto"/>
        <w:bottom w:val="none" w:sz="0" w:space="0" w:color="auto"/>
        <w:right w:val="none" w:sz="0" w:space="0" w:color="auto"/>
      </w:divBdr>
      <w:divsChild>
        <w:div w:id="213085220">
          <w:marLeft w:val="0"/>
          <w:marRight w:val="0"/>
          <w:marTop w:val="0"/>
          <w:marBottom w:val="0"/>
          <w:divBdr>
            <w:top w:val="none" w:sz="0" w:space="0" w:color="auto"/>
            <w:left w:val="none" w:sz="0" w:space="0" w:color="auto"/>
            <w:bottom w:val="none" w:sz="0" w:space="0" w:color="auto"/>
            <w:right w:val="none" w:sz="0" w:space="0" w:color="auto"/>
          </w:divBdr>
          <w:divsChild>
            <w:div w:id="2137331554">
              <w:marLeft w:val="0"/>
              <w:marRight w:val="0"/>
              <w:marTop w:val="0"/>
              <w:marBottom w:val="0"/>
              <w:divBdr>
                <w:top w:val="none" w:sz="0" w:space="0" w:color="auto"/>
                <w:left w:val="none" w:sz="0" w:space="0" w:color="auto"/>
                <w:bottom w:val="none" w:sz="0" w:space="0" w:color="auto"/>
                <w:right w:val="none" w:sz="0" w:space="0" w:color="auto"/>
              </w:divBdr>
              <w:divsChild>
                <w:div w:id="1662192647">
                  <w:marLeft w:val="0"/>
                  <w:marRight w:val="0"/>
                  <w:marTop w:val="0"/>
                  <w:marBottom w:val="0"/>
                  <w:divBdr>
                    <w:top w:val="none" w:sz="0" w:space="0" w:color="auto"/>
                    <w:left w:val="none" w:sz="0" w:space="0" w:color="auto"/>
                    <w:bottom w:val="none" w:sz="0" w:space="0" w:color="auto"/>
                    <w:right w:val="none" w:sz="0" w:space="0" w:color="auto"/>
                  </w:divBdr>
                  <w:divsChild>
                    <w:div w:id="32309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202934">
      <w:bodyDiv w:val="1"/>
      <w:marLeft w:val="0"/>
      <w:marRight w:val="0"/>
      <w:marTop w:val="0"/>
      <w:marBottom w:val="0"/>
      <w:divBdr>
        <w:top w:val="none" w:sz="0" w:space="0" w:color="auto"/>
        <w:left w:val="none" w:sz="0" w:space="0" w:color="auto"/>
        <w:bottom w:val="none" w:sz="0" w:space="0" w:color="auto"/>
        <w:right w:val="none" w:sz="0" w:space="0" w:color="auto"/>
      </w:divBdr>
    </w:div>
    <w:div w:id="1220097744">
      <w:bodyDiv w:val="1"/>
      <w:marLeft w:val="0"/>
      <w:marRight w:val="0"/>
      <w:marTop w:val="0"/>
      <w:marBottom w:val="0"/>
      <w:divBdr>
        <w:top w:val="none" w:sz="0" w:space="0" w:color="auto"/>
        <w:left w:val="none" w:sz="0" w:space="0" w:color="auto"/>
        <w:bottom w:val="none" w:sz="0" w:space="0" w:color="auto"/>
        <w:right w:val="none" w:sz="0" w:space="0" w:color="auto"/>
      </w:divBdr>
    </w:div>
    <w:div w:id="1223173155">
      <w:bodyDiv w:val="1"/>
      <w:marLeft w:val="0"/>
      <w:marRight w:val="0"/>
      <w:marTop w:val="0"/>
      <w:marBottom w:val="0"/>
      <w:divBdr>
        <w:top w:val="none" w:sz="0" w:space="0" w:color="auto"/>
        <w:left w:val="none" w:sz="0" w:space="0" w:color="auto"/>
        <w:bottom w:val="none" w:sz="0" w:space="0" w:color="auto"/>
        <w:right w:val="none" w:sz="0" w:space="0" w:color="auto"/>
      </w:divBdr>
    </w:div>
    <w:div w:id="1242374390">
      <w:bodyDiv w:val="1"/>
      <w:marLeft w:val="0"/>
      <w:marRight w:val="0"/>
      <w:marTop w:val="0"/>
      <w:marBottom w:val="0"/>
      <w:divBdr>
        <w:top w:val="none" w:sz="0" w:space="0" w:color="auto"/>
        <w:left w:val="none" w:sz="0" w:space="0" w:color="auto"/>
        <w:bottom w:val="none" w:sz="0" w:space="0" w:color="auto"/>
        <w:right w:val="none" w:sz="0" w:space="0" w:color="auto"/>
      </w:divBdr>
    </w:div>
    <w:div w:id="1248539107">
      <w:bodyDiv w:val="1"/>
      <w:marLeft w:val="0"/>
      <w:marRight w:val="0"/>
      <w:marTop w:val="0"/>
      <w:marBottom w:val="0"/>
      <w:divBdr>
        <w:top w:val="none" w:sz="0" w:space="0" w:color="auto"/>
        <w:left w:val="none" w:sz="0" w:space="0" w:color="auto"/>
        <w:bottom w:val="none" w:sz="0" w:space="0" w:color="auto"/>
        <w:right w:val="none" w:sz="0" w:space="0" w:color="auto"/>
      </w:divBdr>
    </w:div>
    <w:div w:id="1261793315">
      <w:bodyDiv w:val="1"/>
      <w:marLeft w:val="0"/>
      <w:marRight w:val="0"/>
      <w:marTop w:val="0"/>
      <w:marBottom w:val="0"/>
      <w:divBdr>
        <w:top w:val="none" w:sz="0" w:space="0" w:color="auto"/>
        <w:left w:val="none" w:sz="0" w:space="0" w:color="auto"/>
        <w:bottom w:val="none" w:sz="0" w:space="0" w:color="auto"/>
        <w:right w:val="none" w:sz="0" w:space="0" w:color="auto"/>
      </w:divBdr>
      <w:divsChild>
        <w:div w:id="982662250">
          <w:marLeft w:val="0"/>
          <w:marRight w:val="0"/>
          <w:marTop w:val="0"/>
          <w:marBottom w:val="0"/>
          <w:divBdr>
            <w:top w:val="none" w:sz="0" w:space="0" w:color="auto"/>
            <w:left w:val="none" w:sz="0" w:space="0" w:color="auto"/>
            <w:bottom w:val="none" w:sz="0" w:space="0" w:color="auto"/>
            <w:right w:val="none" w:sz="0" w:space="0" w:color="auto"/>
          </w:divBdr>
          <w:divsChild>
            <w:div w:id="1633709105">
              <w:marLeft w:val="0"/>
              <w:marRight w:val="0"/>
              <w:marTop w:val="0"/>
              <w:marBottom w:val="0"/>
              <w:divBdr>
                <w:top w:val="none" w:sz="0" w:space="0" w:color="auto"/>
                <w:left w:val="none" w:sz="0" w:space="0" w:color="auto"/>
                <w:bottom w:val="none" w:sz="0" w:space="0" w:color="auto"/>
                <w:right w:val="none" w:sz="0" w:space="0" w:color="auto"/>
              </w:divBdr>
              <w:divsChild>
                <w:div w:id="1586300571">
                  <w:marLeft w:val="0"/>
                  <w:marRight w:val="0"/>
                  <w:marTop w:val="0"/>
                  <w:marBottom w:val="0"/>
                  <w:divBdr>
                    <w:top w:val="none" w:sz="0" w:space="0" w:color="auto"/>
                    <w:left w:val="none" w:sz="0" w:space="0" w:color="auto"/>
                    <w:bottom w:val="none" w:sz="0" w:space="0" w:color="auto"/>
                    <w:right w:val="none" w:sz="0" w:space="0" w:color="auto"/>
                  </w:divBdr>
                  <w:divsChild>
                    <w:div w:id="190429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106507">
      <w:bodyDiv w:val="1"/>
      <w:marLeft w:val="0"/>
      <w:marRight w:val="0"/>
      <w:marTop w:val="0"/>
      <w:marBottom w:val="0"/>
      <w:divBdr>
        <w:top w:val="none" w:sz="0" w:space="0" w:color="auto"/>
        <w:left w:val="none" w:sz="0" w:space="0" w:color="auto"/>
        <w:bottom w:val="none" w:sz="0" w:space="0" w:color="auto"/>
        <w:right w:val="none" w:sz="0" w:space="0" w:color="auto"/>
      </w:divBdr>
    </w:div>
    <w:div w:id="1263807778">
      <w:bodyDiv w:val="1"/>
      <w:marLeft w:val="0"/>
      <w:marRight w:val="0"/>
      <w:marTop w:val="0"/>
      <w:marBottom w:val="0"/>
      <w:divBdr>
        <w:top w:val="none" w:sz="0" w:space="0" w:color="auto"/>
        <w:left w:val="none" w:sz="0" w:space="0" w:color="auto"/>
        <w:bottom w:val="none" w:sz="0" w:space="0" w:color="auto"/>
        <w:right w:val="none" w:sz="0" w:space="0" w:color="auto"/>
      </w:divBdr>
      <w:divsChild>
        <w:div w:id="624625403">
          <w:marLeft w:val="0"/>
          <w:marRight w:val="0"/>
          <w:marTop w:val="0"/>
          <w:marBottom w:val="0"/>
          <w:divBdr>
            <w:top w:val="none" w:sz="0" w:space="0" w:color="auto"/>
            <w:left w:val="none" w:sz="0" w:space="0" w:color="auto"/>
            <w:bottom w:val="none" w:sz="0" w:space="0" w:color="auto"/>
            <w:right w:val="none" w:sz="0" w:space="0" w:color="auto"/>
          </w:divBdr>
          <w:divsChild>
            <w:div w:id="1098911239">
              <w:marLeft w:val="0"/>
              <w:marRight w:val="0"/>
              <w:marTop w:val="0"/>
              <w:marBottom w:val="0"/>
              <w:divBdr>
                <w:top w:val="none" w:sz="0" w:space="0" w:color="auto"/>
                <w:left w:val="none" w:sz="0" w:space="0" w:color="auto"/>
                <w:bottom w:val="none" w:sz="0" w:space="0" w:color="auto"/>
                <w:right w:val="none" w:sz="0" w:space="0" w:color="auto"/>
              </w:divBdr>
              <w:divsChild>
                <w:div w:id="2088652267">
                  <w:marLeft w:val="0"/>
                  <w:marRight w:val="0"/>
                  <w:marTop w:val="0"/>
                  <w:marBottom w:val="0"/>
                  <w:divBdr>
                    <w:top w:val="none" w:sz="0" w:space="0" w:color="auto"/>
                    <w:left w:val="none" w:sz="0" w:space="0" w:color="auto"/>
                    <w:bottom w:val="none" w:sz="0" w:space="0" w:color="auto"/>
                    <w:right w:val="none" w:sz="0" w:space="0" w:color="auto"/>
                  </w:divBdr>
                  <w:divsChild>
                    <w:div w:id="137731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527702">
      <w:bodyDiv w:val="1"/>
      <w:marLeft w:val="0"/>
      <w:marRight w:val="0"/>
      <w:marTop w:val="0"/>
      <w:marBottom w:val="0"/>
      <w:divBdr>
        <w:top w:val="none" w:sz="0" w:space="0" w:color="auto"/>
        <w:left w:val="none" w:sz="0" w:space="0" w:color="auto"/>
        <w:bottom w:val="none" w:sz="0" w:space="0" w:color="auto"/>
        <w:right w:val="none" w:sz="0" w:space="0" w:color="auto"/>
      </w:divBdr>
      <w:divsChild>
        <w:div w:id="1430462688">
          <w:marLeft w:val="0"/>
          <w:marRight w:val="0"/>
          <w:marTop w:val="0"/>
          <w:marBottom w:val="0"/>
          <w:divBdr>
            <w:top w:val="none" w:sz="0" w:space="0" w:color="auto"/>
            <w:left w:val="none" w:sz="0" w:space="0" w:color="auto"/>
            <w:bottom w:val="none" w:sz="0" w:space="0" w:color="auto"/>
            <w:right w:val="none" w:sz="0" w:space="0" w:color="auto"/>
          </w:divBdr>
          <w:divsChild>
            <w:div w:id="1426655815">
              <w:marLeft w:val="0"/>
              <w:marRight w:val="0"/>
              <w:marTop w:val="0"/>
              <w:marBottom w:val="0"/>
              <w:divBdr>
                <w:top w:val="none" w:sz="0" w:space="0" w:color="auto"/>
                <w:left w:val="none" w:sz="0" w:space="0" w:color="auto"/>
                <w:bottom w:val="none" w:sz="0" w:space="0" w:color="auto"/>
                <w:right w:val="none" w:sz="0" w:space="0" w:color="auto"/>
              </w:divBdr>
              <w:divsChild>
                <w:div w:id="198616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82739">
      <w:bodyDiv w:val="1"/>
      <w:marLeft w:val="0"/>
      <w:marRight w:val="0"/>
      <w:marTop w:val="0"/>
      <w:marBottom w:val="0"/>
      <w:divBdr>
        <w:top w:val="none" w:sz="0" w:space="0" w:color="auto"/>
        <w:left w:val="none" w:sz="0" w:space="0" w:color="auto"/>
        <w:bottom w:val="none" w:sz="0" w:space="0" w:color="auto"/>
        <w:right w:val="none" w:sz="0" w:space="0" w:color="auto"/>
      </w:divBdr>
      <w:divsChild>
        <w:div w:id="814446772">
          <w:marLeft w:val="0"/>
          <w:marRight w:val="0"/>
          <w:marTop w:val="0"/>
          <w:marBottom w:val="0"/>
          <w:divBdr>
            <w:top w:val="none" w:sz="0" w:space="0" w:color="auto"/>
            <w:left w:val="none" w:sz="0" w:space="0" w:color="auto"/>
            <w:bottom w:val="none" w:sz="0" w:space="0" w:color="auto"/>
            <w:right w:val="none" w:sz="0" w:space="0" w:color="auto"/>
          </w:divBdr>
          <w:divsChild>
            <w:div w:id="1981839253">
              <w:marLeft w:val="0"/>
              <w:marRight w:val="0"/>
              <w:marTop w:val="0"/>
              <w:marBottom w:val="0"/>
              <w:divBdr>
                <w:top w:val="none" w:sz="0" w:space="0" w:color="auto"/>
                <w:left w:val="none" w:sz="0" w:space="0" w:color="auto"/>
                <w:bottom w:val="none" w:sz="0" w:space="0" w:color="auto"/>
                <w:right w:val="none" w:sz="0" w:space="0" w:color="auto"/>
              </w:divBdr>
              <w:divsChild>
                <w:div w:id="66814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882458">
      <w:bodyDiv w:val="1"/>
      <w:marLeft w:val="0"/>
      <w:marRight w:val="0"/>
      <w:marTop w:val="0"/>
      <w:marBottom w:val="0"/>
      <w:divBdr>
        <w:top w:val="none" w:sz="0" w:space="0" w:color="auto"/>
        <w:left w:val="none" w:sz="0" w:space="0" w:color="auto"/>
        <w:bottom w:val="none" w:sz="0" w:space="0" w:color="auto"/>
        <w:right w:val="none" w:sz="0" w:space="0" w:color="auto"/>
      </w:divBdr>
    </w:div>
    <w:div w:id="1287128095">
      <w:bodyDiv w:val="1"/>
      <w:marLeft w:val="0"/>
      <w:marRight w:val="0"/>
      <w:marTop w:val="0"/>
      <w:marBottom w:val="0"/>
      <w:divBdr>
        <w:top w:val="none" w:sz="0" w:space="0" w:color="auto"/>
        <w:left w:val="none" w:sz="0" w:space="0" w:color="auto"/>
        <w:bottom w:val="none" w:sz="0" w:space="0" w:color="auto"/>
        <w:right w:val="none" w:sz="0" w:space="0" w:color="auto"/>
      </w:divBdr>
    </w:div>
    <w:div w:id="1293099945">
      <w:bodyDiv w:val="1"/>
      <w:marLeft w:val="0"/>
      <w:marRight w:val="0"/>
      <w:marTop w:val="0"/>
      <w:marBottom w:val="0"/>
      <w:divBdr>
        <w:top w:val="none" w:sz="0" w:space="0" w:color="auto"/>
        <w:left w:val="none" w:sz="0" w:space="0" w:color="auto"/>
        <w:bottom w:val="none" w:sz="0" w:space="0" w:color="auto"/>
        <w:right w:val="none" w:sz="0" w:space="0" w:color="auto"/>
      </w:divBdr>
    </w:div>
    <w:div w:id="1314871587">
      <w:bodyDiv w:val="1"/>
      <w:marLeft w:val="0"/>
      <w:marRight w:val="0"/>
      <w:marTop w:val="0"/>
      <w:marBottom w:val="0"/>
      <w:divBdr>
        <w:top w:val="none" w:sz="0" w:space="0" w:color="auto"/>
        <w:left w:val="none" w:sz="0" w:space="0" w:color="auto"/>
        <w:bottom w:val="none" w:sz="0" w:space="0" w:color="auto"/>
        <w:right w:val="none" w:sz="0" w:space="0" w:color="auto"/>
      </w:divBdr>
    </w:div>
    <w:div w:id="1318143493">
      <w:bodyDiv w:val="1"/>
      <w:marLeft w:val="0"/>
      <w:marRight w:val="0"/>
      <w:marTop w:val="0"/>
      <w:marBottom w:val="0"/>
      <w:divBdr>
        <w:top w:val="none" w:sz="0" w:space="0" w:color="auto"/>
        <w:left w:val="none" w:sz="0" w:space="0" w:color="auto"/>
        <w:bottom w:val="none" w:sz="0" w:space="0" w:color="auto"/>
        <w:right w:val="none" w:sz="0" w:space="0" w:color="auto"/>
      </w:divBdr>
    </w:div>
    <w:div w:id="1320616572">
      <w:bodyDiv w:val="1"/>
      <w:marLeft w:val="0"/>
      <w:marRight w:val="0"/>
      <w:marTop w:val="0"/>
      <w:marBottom w:val="0"/>
      <w:divBdr>
        <w:top w:val="none" w:sz="0" w:space="0" w:color="auto"/>
        <w:left w:val="none" w:sz="0" w:space="0" w:color="auto"/>
        <w:bottom w:val="none" w:sz="0" w:space="0" w:color="auto"/>
        <w:right w:val="none" w:sz="0" w:space="0" w:color="auto"/>
      </w:divBdr>
    </w:div>
    <w:div w:id="1328361260">
      <w:bodyDiv w:val="1"/>
      <w:marLeft w:val="0"/>
      <w:marRight w:val="0"/>
      <w:marTop w:val="0"/>
      <w:marBottom w:val="0"/>
      <w:divBdr>
        <w:top w:val="none" w:sz="0" w:space="0" w:color="auto"/>
        <w:left w:val="none" w:sz="0" w:space="0" w:color="auto"/>
        <w:bottom w:val="none" w:sz="0" w:space="0" w:color="auto"/>
        <w:right w:val="none" w:sz="0" w:space="0" w:color="auto"/>
      </w:divBdr>
    </w:div>
    <w:div w:id="1378967716">
      <w:bodyDiv w:val="1"/>
      <w:marLeft w:val="0"/>
      <w:marRight w:val="0"/>
      <w:marTop w:val="0"/>
      <w:marBottom w:val="0"/>
      <w:divBdr>
        <w:top w:val="none" w:sz="0" w:space="0" w:color="auto"/>
        <w:left w:val="none" w:sz="0" w:space="0" w:color="auto"/>
        <w:bottom w:val="none" w:sz="0" w:space="0" w:color="auto"/>
        <w:right w:val="none" w:sz="0" w:space="0" w:color="auto"/>
      </w:divBdr>
    </w:div>
    <w:div w:id="1384021585">
      <w:bodyDiv w:val="1"/>
      <w:marLeft w:val="0"/>
      <w:marRight w:val="0"/>
      <w:marTop w:val="0"/>
      <w:marBottom w:val="0"/>
      <w:divBdr>
        <w:top w:val="none" w:sz="0" w:space="0" w:color="auto"/>
        <w:left w:val="none" w:sz="0" w:space="0" w:color="auto"/>
        <w:bottom w:val="none" w:sz="0" w:space="0" w:color="auto"/>
        <w:right w:val="none" w:sz="0" w:space="0" w:color="auto"/>
      </w:divBdr>
      <w:divsChild>
        <w:div w:id="1501315646">
          <w:marLeft w:val="0"/>
          <w:marRight w:val="0"/>
          <w:marTop w:val="0"/>
          <w:marBottom w:val="0"/>
          <w:divBdr>
            <w:top w:val="none" w:sz="0" w:space="0" w:color="auto"/>
            <w:left w:val="none" w:sz="0" w:space="0" w:color="auto"/>
            <w:bottom w:val="none" w:sz="0" w:space="0" w:color="auto"/>
            <w:right w:val="none" w:sz="0" w:space="0" w:color="auto"/>
          </w:divBdr>
          <w:divsChild>
            <w:div w:id="2052226239">
              <w:marLeft w:val="0"/>
              <w:marRight w:val="0"/>
              <w:marTop w:val="0"/>
              <w:marBottom w:val="0"/>
              <w:divBdr>
                <w:top w:val="none" w:sz="0" w:space="0" w:color="auto"/>
                <w:left w:val="none" w:sz="0" w:space="0" w:color="auto"/>
                <w:bottom w:val="none" w:sz="0" w:space="0" w:color="auto"/>
                <w:right w:val="none" w:sz="0" w:space="0" w:color="auto"/>
              </w:divBdr>
              <w:divsChild>
                <w:div w:id="1130981363">
                  <w:marLeft w:val="0"/>
                  <w:marRight w:val="0"/>
                  <w:marTop w:val="0"/>
                  <w:marBottom w:val="0"/>
                  <w:divBdr>
                    <w:top w:val="none" w:sz="0" w:space="0" w:color="auto"/>
                    <w:left w:val="none" w:sz="0" w:space="0" w:color="auto"/>
                    <w:bottom w:val="none" w:sz="0" w:space="0" w:color="auto"/>
                    <w:right w:val="none" w:sz="0" w:space="0" w:color="auto"/>
                  </w:divBdr>
                  <w:divsChild>
                    <w:div w:id="79976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568411">
      <w:bodyDiv w:val="1"/>
      <w:marLeft w:val="0"/>
      <w:marRight w:val="0"/>
      <w:marTop w:val="0"/>
      <w:marBottom w:val="0"/>
      <w:divBdr>
        <w:top w:val="none" w:sz="0" w:space="0" w:color="auto"/>
        <w:left w:val="none" w:sz="0" w:space="0" w:color="auto"/>
        <w:bottom w:val="none" w:sz="0" w:space="0" w:color="auto"/>
        <w:right w:val="none" w:sz="0" w:space="0" w:color="auto"/>
      </w:divBdr>
    </w:div>
    <w:div w:id="1389649065">
      <w:bodyDiv w:val="1"/>
      <w:marLeft w:val="0"/>
      <w:marRight w:val="0"/>
      <w:marTop w:val="0"/>
      <w:marBottom w:val="0"/>
      <w:divBdr>
        <w:top w:val="none" w:sz="0" w:space="0" w:color="auto"/>
        <w:left w:val="none" w:sz="0" w:space="0" w:color="auto"/>
        <w:bottom w:val="none" w:sz="0" w:space="0" w:color="auto"/>
        <w:right w:val="none" w:sz="0" w:space="0" w:color="auto"/>
      </w:divBdr>
    </w:div>
    <w:div w:id="1399943005">
      <w:bodyDiv w:val="1"/>
      <w:marLeft w:val="0"/>
      <w:marRight w:val="0"/>
      <w:marTop w:val="0"/>
      <w:marBottom w:val="0"/>
      <w:divBdr>
        <w:top w:val="none" w:sz="0" w:space="0" w:color="auto"/>
        <w:left w:val="none" w:sz="0" w:space="0" w:color="auto"/>
        <w:bottom w:val="none" w:sz="0" w:space="0" w:color="auto"/>
        <w:right w:val="none" w:sz="0" w:space="0" w:color="auto"/>
      </w:divBdr>
    </w:div>
    <w:div w:id="1409769139">
      <w:bodyDiv w:val="1"/>
      <w:marLeft w:val="0"/>
      <w:marRight w:val="0"/>
      <w:marTop w:val="0"/>
      <w:marBottom w:val="0"/>
      <w:divBdr>
        <w:top w:val="none" w:sz="0" w:space="0" w:color="auto"/>
        <w:left w:val="none" w:sz="0" w:space="0" w:color="auto"/>
        <w:bottom w:val="none" w:sz="0" w:space="0" w:color="auto"/>
        <w:right w:val="none" w:sz="0" w:space="0" w:color="auto"/>
      </w:divBdr>
      <w:divsChild>
        <w:div w:id="1557426770">
          <w:marLeft w:val="0"/>
          <w:marRight w:val="0"/>
          <w:marTop w:val="0"/>
          <w:marBottom w:val="0"/>
          <w:divBdr>
            <w:top w:val="none" w:sz="0" w:space="0" w:color="auto"/>
            <w:left w:val="none" w:sz="0" w:space="0" w:color="auto"/>
            <w:bottom w:val="none" w:sz="0" w:space="0" w:color="auto"/>
            <w:right w:val="none" w:sz="0" w:space="0" w:color="auto"/>
          </w:divBdr>
          <w:divsChild>
            <w:div w:id="2022974102">
              <w:marLeft w:val="0"/>
              <w:marRight w:val="0"/>
              <w:marTop w:val="0"/>
              <w:marBottom w:val="0"/>
              <w:divBdr>
                <w:top w:val="none" w:sz="0" w:space="0" w:color="auto"/>
                <w:left w:val="none" w:sz="0" w:space="0" w:color="auto"/>
                <w:bottom w:val="none" w:sz="0" w:space="0" w:color="auto"/>
                <w:right w:val="none" w:sz="0" w:space="0" w:color="auto"/>
              </w:divBdr>
              <w:divsChild>
                <w:div w:id="135549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502578">
      <w:bodyDiv w:val="1"/>
      <w:marLeft w:val="0"/>
      <w:marRight w:val="0"/>
      <w:marTop w:val="0"/>
      <w:marBottom w:val="0"/>
      <w:divBdr>
        <w:top w:val="none" w:sz="0" w:space="0" w:color="auto"/>
        <w:left w:val="none" w:sz="0" w:space="0" w:color="auto"/>
        <w:bottom w:val="none" w:sz="0" w:space="0" w:color="auto"/>
        <w:right w:val="none" w:sz="0" w:space="0" w:color="auto"/>
      </w:divBdr>
    </w:div>
    <w:div w:id="1422605362">
      <w:bodyDiv w:val="1"/>
      <w:marLeft w:val="0"/>
      <w:marRight w:val="0"/>
      <w:marTop w:val="0"/>
      <w:marBottom w:val="0"/>
      <w:divBdr>
        <w:top w:val="none" w:sz="0" w:space="0" w:color="auto"/>
        <w:left w:val="none" w:sz="0" w:space="0" w:color="auto"/>
        <w:bottom w:val="none" w:sz="0" w:space="0" w:color="auto"/>
        <w:right w:val="none" w:sz="0" w:space="0" w:color="auto"/>
      </w:divBdr>
    </w:div>
    <w:div w:id="1435325481">
      <w:bodyDiv w:val="1"/>
      <w:marLeft w:val="0"/>
      <w:marRight w:val="0"/>
      <w:marTop w:val="0"/>
      <w:marBottom w:val="0"/>
      <w:divBdr>
        <w:top w:val="none" w:sz="0" w:space="0" w:color="auto"/>
        <w:left w:val="none" w:sz="0" w:space="0" w:color="auto"/>
        <w:bottom w:val="none" w:sz="0" w:space="0" w:color="auto"/>
        <w:right w:val="none" w:sz="0" w:space="0" w:color="auto"/>
      </w:divBdr>
      <w:divsChild>
        <w:div w:id="1287194767">
          <w:marLeft w:val="0"/>
          <w:marRight w:val="0"/>
          <w:marTop w:val="0"/>
          <w:marBottom w:val="0"/>
          <w:divBdr>
            <w:top w:val="none" w:sz="0" w:space="0" w:color="auto"/>
            <w:left w:val="none" w:sz="0" w:space="0" w:color="auto"/>
            <w:bottom w:val="none" w:sz="0" w:space="0" w:color="auto"/>
            <w:right w:val="none" w:sz="0" w:space="0" w:color="auto"/>
          </w:divBdr>
          <w:divsChild>
            <w:div w:id="193885311">
              <w:marLeft w:val="0"/>
              <w:marRight w:val="0"/>
              <w:marTop w:val="0"/>
              <w:marBottom w:val="0"/>
              <w:divBdr>
                <w:top w:val="none" w:sz="0" w:space="0" w:color="auto"/>
                <w:left w:val="none" w:sz="0" w:space="0" w:color="auto"/>
                <w:bottom w:val="none" w:sz="0" w:space="0" w:color="auto"/>
                <w:right w:val="none" w:sz="0" w:space="0" w:color="auto"/>
              </w:divBdr>
              <w:divsChild>
                <w:div w:id="93528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004488">
      <w:bodyDiv w:val="1"/>
      <w:marLeft w:val="0"/>
      <w:marRight w:val="0"/>
      <w:marTop w:val="0"/>
      <w:marBottom w:val="0"/>
      <w:divBdr>
        <w:top w:val="none" w:sz="0" w:space="0" w:color="auto"/>
        <w:left w:val="none" w:sz="0" w:space="0" w:color="auto"/>
        <w:bottom w:val="none" w:sz="0" w:space="0" w:color="auto"/>
        <w:right w:val="none" w:sz="0" w:space="0" w:color="auto"/>
      </w:divBdr>
      <w:divsChild>
        <w:div w:id="694042190">
          <w:marLeft w:val="0"/>
          <w:marRight w:val="0"/>
          <w:marTop w:val="0"/>
          <w:marBottom w:val="0"/>
          <w:divBdr>
            <w:top w:val="none" w:sz="0" w:space="0" w:color="auto"/>
            <w:left w:val="none" w:sz="0" w:space="0" w:color="auto"/>
            <w:bottom w:val="none" w:sz="0" w:space="0" w:color="auto"/>
            <w:right w:val="none" w:sz="0" w:space="0" w:color="auto"/>
          </w:divBdr>
          <w:divsChild>
            <w:div w:id="881018442">
              <w:marLeft w:val="0"/>
              <w:marRight w:val="0"/>
              <w:marTop w:val="0"/>
              <w:marBottom w:val="0"/>
              <w:divBdr>
                <w:top w:val="none" w:sz="0" w:space="0" w:color="auto"/>
                <w:left w:val="none" w:sz="0" w:space="0" w:color="auto"/>
                <w:bottom w:val="none" w:sz="0" w:space="0" w:color="auto"/>
                <w:right w:val="none" w:sz="0" w:space="0" w:color="auto"/>
              </w:divBdr>
              <w:divsChild>
                <w:div w:id="4816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90279">
      <w:bodyDiv w:val="1"/>
      <w:marLeft w:val="0"/>
      <w:marRight w:val="0"/>
      <w:marTop w:val="0"/>
      <w:marBottom w:val="0"/>
      <w:divBdr>
        <w:top w:val="none" w:sz="0" w:space="0" w:color="auto"/>
        <w:left w:val="none" w:sz="0" w:space="0" w:color="auto"/>
        <w:bottom w:val="none" w:sz="0" w:space="0" w:color="auto"/>
        <w:right w:val="none" w:sz="0" w:space="0" w:color="auto"/>
      </w:divBdr>
    </w:div>
    <w:div w:id="1486581968">
      <w:bodyDiv w:val="1"/>
      <w:marLeft w:val="0"/>
      <w:marRight w:val="0"/>
      <w:marTop w:val="0"/>
      <w:marBottom w:val="0"/>
      <w:divBdr>
        <w:top w:val="none" w:sz="0" w:space="0" w:color="auto"/>
        <w:left w:val="none" w:sz="0" w:space="0" w:color="auto"/>
        <w:bottom w:val="none" w:sz="0" w:space="0" w:color="auto"/>
        <w:right w:val="none" w:sz="0" w:space="0" w:color="auto"/>
      </w:divBdr>
      <w:divsChild>
        <w:div w:id="1183862808">
          <w:marLeft w:val="0"/>
          <w:marRight w:val="0"/>
          <w:marTop w:val="0"/>
          <w:marBottom w:val="0"/>
          <w:divBdr>
            <w:top w:val="none" w:sz="0" w:space="0" w:color="auto"/>
            <w:left w:val="none" w:sz="0" w:space="0" w:color="auto"/>
            <w:bottom w:val="none" w:sz="0" w:space="0" w:color="auto"/>
            <w:right w:val="none" w:sz="0" w:space="0" w:color="auto"/>
          </w:divBdr>
          <w:divsChild>
            <w:div w:id="1699693568">
              <w:marLeft w:val="0"/>
              <w:marRight w:val="0"/>
              <w:marTop w:val="0"/>
              <w:marBottom w:val="0"/>
              <w:divBdr>
                <w:top w:val="none" w:sz="0" w:space="0" w:color="auto"/>
                <w:left w:val="none" w:sz="0" w:space="0" w:color="auto"/>
                <w:bottom w:val="none" w:sz="0" w:space="0" w:color="auto"/>
                <w:right w:val="none" w:sz="0" w:space="0" w:color="auto"/>
              </w:divBdr>
              <w:divsChild>
                <w:div w:id="1640498773">
                  <w:marLeft w:val="0"/>
                  <w:marRight w:val="0"/>
                  <w:marTop w:val="0"/>
                  <w:marBottom w:val="0"/>
                  <w:divBdr>
                    <w:top w:val="none" w:sz="0" w:space="0" w:color="auto"/>
                    <w:left w:val="none" w:sz="0" w:space="0" w:color="auto"/>
                    <w:bottom w:val="none" w:sz="0" w:space="0" w:color="auto"/>
                    <w:right w:val="none" w:sz="0" w:space="0" w:color="auto"/>
                  </w:divBdr>
                  <w:divsChild>
                    <w:div w:id="27429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474510">
      <w:bodyDiv w:val="1"/>
      <w:marLeft w:val="0"/>
      <w:marRight w:val="0"/>
      <w:marTop w:val="0"/>
      <w:marBottom w:val="0"/>
      <w:divBdr>
        <w:top w:val="none" w:sz="0" w:space="0" w:color="auto"/>
        <w:left w:val="none" w:sz="0" w:space="0" w:color="auto"/>
        <w:bottom w:val="none" w:sz="0" w:space="0" w:color="auto"/>
        <w:right w:val="none" w:sz="0" w:space="0" w:color="auto"/>
      </w:divBdr>
    </w:div>
    <w:div w:id="1517159754">
      <w:bodyDiv w:val="1"/>
      <w:marLeft w:val="0"/>
      <w:marRight w:val="0"/>
      <w:marTop w:val="0"/>
      <w:marBottom w:val="0"/>
      <w:divBdr>
        <w:top w:val="none" w:sz="0" w:space="0" w:color="auto"/>
        <w:left w:val="none" w:sz="0" w:space="0" w:color="auto"/>
        <w:bottom w:val="none" w:sz="0" w:space="0" w:color="auto"/>
        <w:right w:val="none" w:sz="0" w:space="0" w:color="auto"/>
      </w:divBdr>
      <w:divsChild>
        <w:div w:id="418453815">
          <w:marLeft w:val="0"/>
          <w:marRight w:val="0"/>
          <w:marTop w:val="0"/>
          <w:marBottom w:val="0"/>
          <w:divBdr>
            <w:top w:val="none" w:sz="0" w:space="0" w:color="auto"/>
            <w:left w:val="none" w:sz="0" w:space="0" w:color="auto"/>
            <w:bottom w:val="none" w:sz="0" w:space="0" w:color="auto"/>
            <w:right w:val="none" w:sz="0" w:space="0" w:color="auto"/>
          </w:divBdr>
          <w:divsChild>
            <w:div w:id="994144465">
              <w:marLeft w:val="0"/>
              <w:marRight w:val="0"/>
              <w:marTop w:val="0"/>
              <w:marBottom w:val="0"/>
              <w:divBdr>
                <w:top w:val="none" w:sz="0" w:space="0" w:color="auto"/>
                <w:left w:val="none" w:sz="0" w:space="0" w:color="auto"/>
                <w:bottom w:val="none" w:sz="0" w:space="0" w:color="auto"/>
                <w:right w:val="none" w:sz="0" w:space="0" w:color="auto"/>
              </w:divBdr>
              <w:divsChild>
                <w:div w:id="1452556854">
                  <w:marLeft w:val="0"/>
                  <w:marRight w:val="0"/>
                  <w:marTop w:val="0"/>
                  <w:marBottom w:val="0"/>
                  <w:divBdr>
                    <w:top w:val="none" w:sz="0" w:space="0" w:color="auto"/>
                    <w:left w:val="none" w:sz="0" w:space="0" w:color="auto"/>
                    <w:bottom w:val="none" w:sz="0" w:space="0" w:color="auto"/>
                    <w:right w:val="none" w:sz="0" w:space="0" w:color="auto"/>
                  </w:divBdr>
                  <w:divsChild>
                    <w:div w:id="158460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090691">
      <w:bodyDiv w:val="1"/>
      <w:marLeft w:val="0"/>
      <w:marRight w:val="0"/>
      <w:marTop w:val="0"/>
      <w:marBottom w:val="0"/>
      <w:divBdr>
        <w:top w:val="none" w:sz="0" w:space="0" w:color="auto"/>
        <w:left w:val="none" w:sz="0" w:space="0" w:color="auto"/>
        <w:bottom w:val="none" w:sz="0" w:space="0" w:color="auto"/>
        <w:right w:val="none" w:sz="0" w:space="0" w:color="auto"/>
      </w:divBdr>
    </w:div>
    <w:div w:id="1527864717">
      <w:bodyDiv w:val="1"/>
      <w:marLeft w:val="0"/>
      <w:marRight w:val="0"/>
      <w:marTop w:val="0"/>
      <w:marBottom w:val="0"/>
      <w:divBdr>
        <w:top w:val="none" w:sz="0" w:space="0" w:color="auto"/>
        <w:left w:val="none" w:sz="0" w:space="0" w:color="auto"/>
        <w:bottom w:val="none" w:sz="0" w:space="0" w:color="auto"/>
        <w:right w:val="none" w:sz="0" w:space="0" w:color="auto"/>
      </w:divBdr>
    </w:div>
    <w:div w:id="1547402946">
      <w:bodyDiv w:val="1"/>
      <w:marLeft w:val="0"/>
      <w:marRight w:val="0"/>
      <w:marTop w:val="0"/>
      <w:marBottom w:val="0"/>
      <w:divBdr>
        <w:top w:val="none" w:sz="0" w:space="0" w:color="auto"/>
        <w:left w:val="none" w:sz="0" w:space="0" w:color="auto"/>
        <w:bottom w:val="none" w:sz="0" w:space="0" w:color="auto"/>
        <w:right w:val="none" w:sz="0" w:space="0" w:color="auto"/>
      </w:divBdr>
    </w:div>
    <w:div w:id="1556502101">
      <w:bodyDiv w:val="1"/>
      <w:marLeft w:val="0"/>
      <w:marRight w:val="0"/>
      <w:marTop w:val="0"/>
      <w:marBottom w:val="0"/>
      <w:divBdr>
        <w:top w:val="none" w:sz="0" w:space="0" w:color="auto"/>
        <w:left w:val="none" w:sz="0" w:space="0" w:color="auto"/>
        <w:bottom w:val="none" w:sz="0" w:space="0" w:color="auto"/>
        <w:right w:val="none" w:sz="0" w:space="0" w:color="auto"/>
      </w:divBdr>
      <w:divsChild>
        <w:div w:id="1732385719">
          <w:marLeft w:val="0"/>
          <w:marRight w:val="0"/>
          <w:marTop w:val="0"/>
          <w:marBottom w:val="0"/>
          <w:divBdr>
            <w:top w:val="none" w:sz="0" w:space="0" w:color="auto"/>
            <w:left w:val="none" w:sz="0" w:space="0" w:color="auto"/>
            <w:bottom w:val="none" w:sz="0" w:space="0" w:color="auto"/>
            <w:right w:val="none" w:sz="0" w:space="0" w:color="auto"/>
          </w:divBdr>
          <w:divsChild>
            <w:div w:id="496574983">
              <w:marLeft w:val="0"/>
              <w:marRight w:val="0"/>
              <w:marTop w:val="0"/>
              <w:marBottom w:val="0"/>
              <w:divBdr>
                <w:top w:val="none" w:sz="0" w:space="0" w:color="auto"/>
                <w:left w:val="none" w:sz="0" w:space="0" w:color="auto"/>
                <w:bottom w:val="none" w:sz="0" w:space="0" w:color="auto"/>
                <w:right w:val="none" w:sz="0" w:space="0" w:color="auto"/>
              </w:divBdr>
              <w:divsChild>
                <w:div w:id="148465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92641">
      <w:bodyDiv w:val="1"/>
      <w:marLeft w:val="0"/>
      <w:marRight w:val="0"/>
      <w:marTop w:val="0"/>
      <w:marBottom w:val="0"/>
      <w:divBdr>
        <w:top w:val="none" w:sz="0" w:space="0" w:color="auto"/>
        <w:left w:val="none" w:sz="0" w:space="0" w:color="auto"/>
        <w:bottom w:val="none" w:sz="0" w:space="0" w:color="auto"/>
        <w:right w:val="none" w:sz="0" w:space="0" w:color="auto"/>
      </w:divBdr>
      <w:divsChild>
        <w:div w:id="662391939">
          <w:marLeft w:val="0"/>
          <w:marRight w:val="0"/>
          <w:marTop w:val="0"/>
          <w:marBottom w:val="0"/>
          <w:divBdr>
            <w:top w:val="none" w:sz="0" w:space="0" w:color="auto"/>
            <w:left w:val="none" w:sz="0" w:space="0" w:color="auto"/>
            <w:bottom w:val="none" w:sz="0" w:space="0" w:color="auto"/>
            <w:right w:val="none" w:sz="0" w:space="0" w:color="auto"/>
          </w:divBdr>
          <w:divsChild>
            <w:div w:id="2037928299">
              <w:marLeft w:val="0"/>
              <w:marRight w:val="0"/>
              <w:marTop w:val="0"/>
              <w:marBottom w:val="0"/>
              <w:divBdr>
                <w:top w:val="none" w:sz="0" w:space="0" w:color="auto"/>
                <w:left w:val="none" w:sz="0" w:space="0" w:color="auto"/>
                <w:bottom w:val="none" w:sz="0" w:space="0" w:color="auto"/>
                <w:right w:val="none" w:sz="0" w:space="0" w:color="auto"/>
              </w:divBdr>
              <w:divsChild>
                <w:div w:id="12106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700011">
      <w:bodyDiv w:val="1"/>
      <w:marLeft w:val="0"/>
      <w:marRight w:val="0"/>
      <w:marTop w:val="0"/>
      <w:marBottom w:val="0"/>
      <w:divBdr>
        <w:top w:val="none" w:sz="0" w:space="0" w:color="auto"/>
        <w:left w:val="none" w:sz="0" w:space="0" w:color="auto"/>
        <w:bottom w:val="none" w:sz="0" w:space="0" w:color="auto"/>
        <w:right w:val="none" w:sz="0" w:space="0" w:color="auto"/>
      </w:divBdr>
    </w:div>
    <w:div w:id="1614826089">
      <w:bodyDiv w:val="1"/>
      <w:marLeft w:val="0"/>
      <w:marRight w:val="0"/>
      <w:marTop w:val="0"/>
      <w:marBottom w:val="0"/>
      <w:divBdr>
        <w:top w:val="none" w:sz="0" w:space="0" w:color="auto"/>
        <w:left w:val="none" w:sz="0" w:space="0" w:color="auto"/>
        <w:bottom w:val="none" w:sz="0" w:space="0" w:color="auto"/>
        <w:right w:val="none" w:sz="0" w:space="0" w:color="auto"/>
      </w:divBdr>
    </w:div>
    <w:div w:id="1649088717">
      <w:bodyDiv w:val="1"/>
      <w:marLeft w:val="0"/>
      <w:marRight w:val="0"/>
      <w:marTop w:val="0"/>
      <w:marBottom w:val="0"/>
      <w:divBdr>
        <w:top w:val="none" w:sz="0" w:space="0" w:color="auto"/>
        <w:left w:val="none" w:sz="0" w:space="0" w:color="auto"/>
        <w:bottom w:val="none" w:sz="0" w:space="0" w:color="auto"/>
        <w:right w:val="none" w:sz="0" w:space="0" w:color="auto"/>
      </w:divBdr>
    </w:div>
    <w:div w:id="1668895662">
      <w:bodyDiv w:val="1"/>
      <w:marLeft w:val="0"/>
      <w:marRight w:val="0"/>
      <w:marTop w:val="0"/>
      <w:marBottom w:val="0"/>
      <w:divBdr>
        <w:top w:val="none" w:sz="0" w:space="0" w:color="auto"/>
        <w:left w:val="none" w:sz="0" w:space="0" w:color="auto"/>
        <w:bottom w:val="none" w:sz="0" w:space="0" w:color="auto"/>
        <w:right w:val="none" w:sz="0" w:space="0" w:color="auto"/>
      </w:divBdr>
      <w:divsChild>
        <w:div w:id="134876460">
          <w:marLeft w:val="0"/>
          <w:marRight w:val="0"/>
          <w:marTop w:val="0"/>
          <w:marBottom w:val="0"/>
          <w:divBdr>
            <w:top w:val="none" w:sz="0" w:space="0" w:color="auto"/>
            <w:left w:val="none" w:sz="0" w:space="0" w:color="auto"/>
            <w:bottom w:val="none" w:sz="0" w:space="0" w:color="auto"/>
            <w:right w:val="none" w:sz="0" w:space="0" w:color="auto"/>
          </w:divBdr>
          <w:divsChild>
            <w:div w:id="1045562328">
              <w:marLeft w:val="0"/>
              <w:marRight w:val="0"/>
              <w:marTop w:val="0"/>
              <w:marBottom w:val="0"/>
              <w:divBdr>
                <w:top w:val="none" w:sz="0" w:space="0" w:color="auto"/>
                <w:left w:val="none" w:sz="0" w:space="0" w:color="auto"/>
                <w:bottom w:val="none" w:sz="0" w:space="0" w:color="auto"/>
                <w:right w:val="none" w:sz="0" w:space="0" w:color="auto"/>
              </w:divBdr>
              <w:divsChild>
                <w:div w:id="204297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752685">
      <w:bodyDiv w:val="1"/>
      <w:marLeft w:val="0"/>
      <w:marRight w:val="0"/>
      <w:marTop w:val="0"/>
      <w:marBottom w:val="0"/>
      <w:divBdr>
        <w:top w:val="none" w:sz="0" w:space="0" w:color="auto"/>
        <w:left w:val="none" w:sz="0" w:space="0" w:color="auto"/>
        <w:bottom w:val="none" w:sz="0" w:space="0" w:color="auto"/>
        <w:right w:val="none" w:sz="0" w:space="0" w:color="auto"/>
      </w:divBdr>
    </w:div>
    <w:div w:id="1688948228">
      <w:bodyDiv w:val="1"/>
      <w:marLeft w:val="0"/>
      <w:marRight w:val="0"/>
      <w:marTop w:val="0"/>
      <w:marBottom w:val="0"/>
      <w:divBdr>
        <w:top w:val="none" w:sz="0" w:space="0" w:color="auto"/>
        <w:left w:val="none" w:sz="0" w:space="0" w:color="auto"/>
        <w:bottom w:val="none" w:sz="0" w:space="0" w:color="auto"/>
        <w:right w:val="none" w:sz="0" w:space="0" w:color="auto"/>
      </w:divBdr>
    </w:div>
    <w:div w:id="1689018221">
      <w:bodyDiv w:val="1"/>
      <w:marLeft w:val="0"/>
      <w:marRight w:val="0"/>
      <w:marTop w:val="0"/>
      <w:marBottom w:val="0"/>
      <w:divBdr>
        <w:top w:val="none" w:sz="0" w:space="0" w:color="auto"/>
        <w:left w:val="none" w:sz="0" w:space="0" w:color="auto"/>
        <w:bottom w:val="none" w:sz="0" w:space="0" w:color="auto"/>
        <w:right w:val="none" w:sz="0" w:space="0" w:color="auto"/>
      </w:divBdr>
    </w:div>
    <w:div w:id="1701392888">
      <w:bodyDiv w:val="1"/>
      <w:marLeft w:val="0"/>
      <w:marRight w:val="0"/>
      <w:marTop w:val="0"/>
      <w:marBottom w:val="0"/>
      <w:divBdr>
        <w:top w:val="none" w:sz="0" w:space="0" w:color="auto"/>
        <w:left w:val="none" w:sz="0" w:space="0" w:color="auto"/>
        <w:bottom w:val="none" w:sz="0" w:space="0" w:color="auto"/>
        <w:right w:val="none" w:sz="0" w:space="0" w:color="auto"/>
      </w:divBdr>
    </w:div>
    <w:div w:id="1716467688">
      <w:bodyDiv w:val="1"/>
      <w:marLeft w:val="0"/>
      <w:marRight w:val="0"/>
      <w:marTop w:val="0"/>
      <w:marBottom w:val="0"/>
      <w:divBdr>
        <w:top w:val="none" w:sz="0" w:space="0" w:color="auto"/>
        <w:left w:val="none" w:sz="0" w:space="0" w:color="auto"/>
        <w:bottom w:val="none" w:sz="0" w:space="0" w:color="auto"/>
        <w:right w:val="none" w:sz="0" w:space="0" w:color="auto"/>
      </w:divBdr>
    </w:div>
    <w:div w:id="1721397883">
      <w:bodyDiv w:val="1"/>
      <w:marLeft w:val="0"/>
      <w:marRight w:val="0"/>
      <w:marTop w:val="0"/>
      <w:marBottom w:val="0"/>
      <w:divBdr>
        <w:top w:val="none" w:sz="0" w:space="0" w:color="auto"/>
        <w:left w:val="none" w:sz="0" w:space="0" w:color="auto"/>
        <w:bottom w:val="none" w:sz="0" w:space="0" w:color="auto"/>
        <w:right w:val="none" w:sz="0" w:space="0" w:color="auto"/>
      </w:divBdr>
      <w:divsChild>
        <w:div w:id="1664625026">
          <w:marLeft w:val="0"/>
          <w:marRight w:val="0"/>
          <w:marTop w:val="0"/>
          <w:marBottom w:val="0"/>
          <w:divBdr>
            <w:top w:val="none" w:sz="0" w:space="0" w:color="auto"/>
            <w:left w:val="none" w:sz="0" w:space="0" w:color="auto"/>
            <w:bottom w:val="none" w:sz="0" w:space="0" w:color="auto"/>
            <w:right w:val="none" w:sz="0" w:space="0" w:color="auto"/>
          </w:divBdr>
        </w:div>
      </w:divsChild>
    </w:div>
    <w:div w:id="1721511911">
      <w:bodyDiv w:val="1"/>
      <w:marLeft w:val="0"/>
      <w:marRight w:val="0"/>
      <w:marTop w:val="0"/>
      <w:marBottom w:val="0"/>
      <w:divBdr>
        <w:top w:val="none" w:sz="0" w:space="0" w:color="auto"/>
        <w:left w:val="none" w:sz="0" w:space="0" w:color="auto"/>
        <w:bottom w:val="none" w:sz="0" w:space="0" w:color="auto"/>
        <w:right w:val="none" w:sz="0" w:space="0" w:color="auto"/>
      </w:divBdr>
    </w:div>
    <w:div w:id="1734810620">
      <w:bodyDiv w:val="1"/>
      <w:marLeft w:val="0"/>
      <w:marRight w:val="0"/>
      <w:marTop w:val="0"/>
      <w:marBottom w:val="0"/>
      <w:divBdr>
        <w:top w:val="none" w:sz="0" w:space="0" w:color="auto"/>
        <w:left w:val="none" w:sz="0" w:space="0" w:color="auto"/>
        <w:bottom w:val="none" w:sz="0" w:space="0" w:color="auto"/>
        <w:right w:val="none" w:sz="0" w:space="0" w:color="auto"/>
      </w:divBdr>
    </w:div>
    <w:div w:id="1767266781">
      <w:bodyDiv w:val="1"/>
      <w:marLeft w:val="0"/>
      <w:marRight w:val="0"/>
      <w:marTop w:val="0"/>
      <w:marBottom w:val="0"/>
      <w:divBdr>
        <w:top w:val="none" w:sz="0" w:space="0" w:color="auto"/>
        <w:left w:val="none" w:sz="0" w:space="0" w:color="auto"/>
        <w:bottom w:val="none" w:sz="0" w:space="0" w:color="auto"/>
        <w:right w:val="none" w:sz="0" w:space="0" w:color="auto"/>
      </w:divBdr>
    </w:div>
    <w:div w:id="1769765168">
      <w:bodyDiv w:val="1"/>
      <w:marLeft w:val="0"/>
      <w:marRight w:val="0"/>
      <w:marTop w:val="0"/>
      <w:marBottom w:val="0"/>
      <w:divBdr>
        <w:top w:val="none" w:sz="0" w:space="0" w:color="auto"/>
        <w:left w:val="none" w:sz="0" w:space="0" w:color="auto"/>
        <w:bottom w:val="none" w:sz="0" w:space="0" w:color="auto"/>
        <w:right w:val="none" w:sz="0" w:space="0" w:color="auto"/>
      </w:divBdr>
    </w:div>
    <w:div w:id="1781145596">
      <w:bodyDiv w:val="1"/>
      <w:marLeft w:val="0"/>
      <w:marRight w:val="0"/>
      <w:marTop w:val="0"/>
      <w:marBottom w:val="0"/>
      <w:divBdr>
        <w:top w:val="none" w:sz="0" w:space="0" w:color="auto"/>
        <w:left w:val="none" w:sz="0" w:space="0" w:color="auto"/>
        <w:bottom w:val="none" w:sz="0" w:space="0" w:color="auto"/>
        <w:right w:val="none" w:sz="0" w:space="0" w:color="auto"/>
      </w:divBdr>
    </w:div>
    <w:div w:id="1789424636">
      <w:bodyDiv w:val="1"/>
      <w:marLeft w:val="0"/>
      <w:marRight w:val="0"/>
      <w:marTop w:val="0"/>
      <w:marBottom w:val="0"/>
      <w:divBdr>
        <w:top w:val="none" w:sz="0" w:space="0" w:color="auto"/>
        <w:left w:val="none" w:sz="0" w:space="0" w:color="auto"/>
        <w:bottom w:val="none" w:sz="0" w:space="0" w:color="auto"/>
        <w:right w:val="none" w:sz="0" w:space="0" w:color="auto"/>
      </w:divBdr>
      <w:divsChild>
        <w:div w:id="356585112">
          <w:marLeft w:val="0"/>
          <w:marRight w:val="0"/>
          <w:marTop w:val="0"/>
          <w:marBottom w:val="0"/>
          <w:divBdr>
            <w:top w:val="none" w:sz="0" w:space="0" w:color="auto"/>
            <w:left w:val="none" w:sz="0" w:space="0" w:color="auto"/>
            <w:bottom w:val="none" w:sz="0" w:space="0" w:color="auto"/>
            <w:right w:val="none" w:sz="0" w:space="0" w:color="auto"/>
          </w:divBdr>
          <w:divsChild>
            <w:div w:id="1686593783">
              <w:marLeft w:val="0"/>
              <w:marRight w:val="0"/>
              <w:marTop w:val="0"/>
              <w:marBottom w:val="0"/>
              <w:divBdr>
                <w:top w:val="none" w:sz="0" w:space="0" w:color="auto"/>
                <w:left w:val="none" w:sz="0" w:space="0" w:color="auto"/>
                <w:bottom w:val="none" w:sz="0" w:space="0" w:color="auto"/>
                <w:right w:val="none" w:sz="0" w:space="0" w:color="auto"/>
              </w:divBdr>
              <w:divsChild>
                <w:div w:id="80963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046804">
      <w:bodyDiv w:val="1"/>
      <w:marLeft w:val="0"/>
      <w:marRight w:val="0"/>
      <w:marTop w:val="0"/>
      <w:marBottom w:val="0"/>
      <w:divBdr>
        <w:top w:val="none" w:sz="0" w:space="0" w:color="auto"/>
        <w:left w:val="none" w:sz="0" w:space="0" w:color="auto"/>
        <w:bottom w:val="none" w:sz="0" w:space="0" w:color="auto"/>
        <w:right w:val="none" w:sz="0" w:space="0" w:color="auto"/>
      </w:divBdr>
      <w:divsChild>
        <w:div w:id="417795449">
          <w:marLeft w:val="0"/>
          <w:marRight w:val="0"/>
          <w:marTop w:val="0"/>
          <w:marBottom w:val="0"/>
          <w:divBdr>
            <w:top w:val="none" w:sz="0" w:space="0" w:color="auto"/>
            <w:left w:val="none" w:sz="0" w:space="0" w:color="auto"/>
            <w:bottom w:val="none" w:sz="0" w:space="0" w:color="auto"/>
            <w:right w:val="none" w:sz="0" w:space="0" w:color="auto"/>
          </w:divBdr>
          <w:divsChild>
            <w:div w:id="209997069">
              <w:marLeft w:val="0"/>
              <w:marRight w:val="0"/>
              <w:marTop w:val="0"/>
              <w:marBottom w:val="0"/>
              <w:divBdr>
                <w:top w:val="none" w:sz="0" w:space="0" w:color="auto"/>
                <w:left w:val="none" w:sz="0" w:space="0" w:color="auto"/>
                <w:bottom w:val="none" w:sz="0" w:space="0" w:color="auto"/>
                <w:right w:val="none" w:sz="0" w:space="0" w:color="auto"/>
              </w:divBdr>
              <w:divsChild>
                <w:div w:id="170867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201649">
      <w:bodyDiv w:val="1"/>
      <w:marLeft w:val="0"/>
      <w:marRight w:val="0"/>
      <w:marTop w:val="0"/>
      <w:marBottom w:val="0"/>
      <w:divBdr>
        <w:top w:val="none" w:sz="0" w:space="0" w:color="auto"/>
        <w:left w:val="none" w:sz="0" w:space="0" w:color="auto"/>
        <w:bottom w:val="none" w:sz="0" w:space="0" w:color="auto"/>
        <w:right w:val="none" w:sz="0" w:space="0" w:color="auto"/>
      </w:divBdr>
    </w:div>
    <w:div w:id="1814104076">
      <w:bodyDiv w:val="1"/>
      <w:marLeft w:val="0"/>
      <w:marRight w:val="0"/>
      <w:marTop w:val="0"/>
      <w:marBottom w:val="0"/>
      <w:divBdr>
        <w:top w:val="none" w:sz="0" w:space="0" w:color="auto"/>
        <w:left w:val="none" w:sz="0" w:space="0" w:color="auto"/>
        <w:bottom w:val="none" w:sz="0" w:space="0" w:color="auto"/>
        <w:right w:val="none" w:sz="0" w:space="0" w:color="auto"/>
      </w:divBdr>
    </w:div>
    <w:div w:id="1814712203">
      <w:bodyDiv w:val="1"/>
      <w:marLeft w:val="0"/>
      <w:marRight w:val="0"/>
      <w:marTop w:val="0"/>
      <w:marBottom w:val="0"/>
      <w:divBdr>
        <w:top w:val="none" w:sz="0" w:space="0" w:color="auto"/>
        <w:left w:val="none" w:sz="0" w:space="0" w:color="auto"/>
        <w:bottom w:val="none" w:sz="0" w:space="0" w:color="auto"/>
        <w:right w:val="none" w:sz="0" w:space="0" w:color="auto"/>
      </w:divBdr>
    </w:div>
    <w:div w:id="1840272184">
      <w:bodyDiv w:val="1"/>
      <w:marLeft w:val="0"/>
      <w:marRight w:val="0"/>
      <w:marTop w:val="0"/>
      <w:marBottom w:val="0"/>
      <w:divBdr>
        <w:top w:val="none" w:sz="0" w:space="0" w:color="auto"/>
        <w:left w:val="none" w:sz="0" w:space="0" w:color="auto"/>
        <w:bottom w:val="none" w:sz="0" w:space="0" w:color="auto"/>
        <w:right w:val="none" w:sz="0" w:space="0" w:color="auto"/>
      </w:divBdr>
    </w:div>
    <w:div w:id="1845515077">
      <w:bodyDiv w:val="1"/>
      <w:marLeft w:val="0"/>
      <w:marRight w:val="0"/>
      <w:marTop w:val="0"/>
      <w:marBottom w:val="0"/>
      <w:divBdr>
        <w:top w:val="none" w:sz="0" w:space="0" w:color="auto"/>
        <w:left w:val="none" w:sz="0" w:space="0" w:color="auto"/>
        <w:bottom w:val="none" w:sz="0" w:space="0" w:color="auto"/>
        <w:right w:val="none" w:sz="0" w:space="0" w:color="auto"/>
      </w:divBdr>
    </w:div>
    <w:div w:id="1850558083">
      <w:bodyDiv w:val="1"/>
      <w:marLeft w:val="0"/>
      <w:marRight w:val="0"/>
      <w:marTop w:val="0"/>
      <w:marBottom w:val="0"/>
      <w:divBdr>
        <w:top w:val="none" w:sz="0" w:space="0" w:color="auto"/>
        <w:left w:val="none" w:sz="0" w:space="0" w:color="auto"/>
        <w:bottom w:val="none" w:sz="0" w:space="0" w:color="auto"/>
        <w:right w:val="none" w:sz="0" w:space="0" w:color="auto"/>
      </w:divBdr>
      <w:divsChild>
        <w:div w:id="2012101432">
          <w:marLeft w:val="0"/>
          <w:marRight w:val="0"/>
          <w:marTop w:val="0"/>
          <w:marBottom w:val="0"/>
          <w:divBdr>
            <w:top w:val="none" w:sz="0" w:space="0" w:color="auto"/>
            <w:left w:val="none" w:sz="0" w:space="0" w:color="auto"/>
            <w:bottom w:val="none" w:sz="0" w:space="0" w:color="auto"/>
            <w:right w:val="none" w:sz="0" w:space="0" w:color="auto"/>
          </w:divBdr>
          <w:divsChild>
            <w:div w:id="893546540">
              <w:marLeft w:val="0"/>
              <w:marRight w:val="0"/>
              <w:marTop w:val="0"/>
              <w:marBottom w:val="0"/>
              <w:divBdr>
                <w:top w:val="none" w:sz="0" w:space="0" w:color="auto"/>
                <w:left w:val="none" w:sz="0" w:space="0" w:color="auto"/>
                <w:bottom w:val="none" w:sz="0" w:space="0" w:color="auto"/>
                <w:right w:val="none" w:sz="0" w:space="0" w:color="auto"/>
              </w:divBdr>
              <w:divsChild>
                <w:div w:id="5913839">
                  <w:marLeft w:val="0"/>
                  <w:marRight w:val="0"/>
                  <w:marTop w:val="0"/>
                  <w:marBottom w:val="0"/>
                  <w:divBdr>
                    <w:top w:val="none" w:sz="0" w:space="0" w:color="auto"/>
                    <w:left w:val="none" w:sz="0" w:space="0" w:color="auto"/>
                    <w:bottom w:val="none" w:sz="0" w:space="0" w:color="auto"/>
                    <w:right w:val="none" w:sz="0" w:space="0" w:color="auto"/>
                  </w:divBdr>
                  <w:divsChild>
                    <w:div w:id="155500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277522">
      <w:bodyDiv w:val="1"/>
      <w:marLeft w:val="0"/>
      <w:marRight w:val="0"/>
      <w:marTop w:val="0"/>
      <w:marBottom w:val="0"/>
      <w:divBdr>
        <w:top w:val="none" w:sz="0" w:space="0" w:color="auto"/>
        <w:left w:val="none" w:sz="0" w:space="0" w:color="auto"/>
        <w:bottom w:val="none" w:sz="0" w:space="0" w:color="auto"/>
        <w:right w:val="none" w:sz="0" w:space="0" w:color="auto"/>
      </w:divBdr>
    </w:div>
    <w:div w:id="1865442815">
      <w:bodyDiv w:val="1"/>
      <w:marLeft w:val="0"/>
      <w:marRight w:val="0"/>
      <w:marTop w:val="0"/>
      <w:marBottom w:val="0"/>
      <w:divBdr>
        <w:top w:val="none" w:sz="0" w:space="0" w:color="auto"/>
        <w:left w:val="none" w:sz="0" w:space="0" w:color="auto"/>
        <w:bottom w:val="none" w:sz="0" w:space="0" w:color="auto"/>
        <w:right w:val="none" w:sz="0" w:space="0" w:color="auto"/>
      </w:divBdr>
    </w:div>
    <w:div w:id="1881091148">
      <w:bodyDiv w:val="1"/>
      <w:marLeft w:val="0"/>
      <w:marRight w:val="0"/>
      <w:marTop w:val="0"/>
      <w:marBottom w:val="0"/>
      <w:divBdr>
        <w:top w:val="none" w:sz="0" w:space="0" w:color="auto"/>
        <w:left w:val="none" w:sz="0" w:space="0" w:color="auto"/>
        <w:bottom w:val="none" w:sz="0" w:space="0" w:color="auto"/>
        <w:right w:val="none" w:sz="0" w:space="0" w:color="auto"/>
      </w:divBdr>
      <w:divsChild>
        <w:div w:id="893394699">
          <w:marLeft w:val="0"/>
          <w:marRight w:val="0"/>
          <w:marTop w:val="0"/>
          <w:marBottom w:val="0"/>
          <w:divBdr>
            <w:top w:val="none" w:sz="0" w:space="0" w:color="auto"/>
            <w:left w:val="none" w:sz="0" w:space="0" w:color="auto"/>
            <w:bottom w:val="none" w:sz="0" w:space="0" w:color="auto"/>
            <w:right w:val="none" w:sz="0" w:space="0" w:color="auto"/>
          </w:divBdr>
          <w:divsChild>
            <w:div w:id="1291982344">
              <w:marLeft w:val="0"/>
              <w:marRight w:val="0"/>
              <w:marTop w:val="0"/>
              <w:marBottom w:val="0"/>
              <w:divBdr>
                <w:top w:val="none" w:sz="0" w:space="0" w:color="auto"/>
                <w:left w:val="none" w:sz="0" w:space="0" w:color="auto"/>
                <w:bottom w:val="none" w:sz="0" w:space="0" w:color="auto"/>
                <w:right w:val="none" w:sz="0" w:space="0" w:color="auto"/>
              </w:divBdr>
              <w:divsChild>
                <w:div w:id="83082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10236">
      <w:bodyDiv w:val="1"/>
      <w:marLeft w:val="0"/>
      <w:marRight w:val="0"/>
      <w:marTop w:val="0"/>
      <w:marBottom w:val="0"/>
      <w:divBdr>
        <w:top w:val="none" w:sz="0" w:space="0" w:color="auto"/>
        <w:left w:val="none" w:sz="0" w:space="0" w:color="auto"/>
        <w:bottom w:val="none" w:sz="0" w:space="0" w:color="auto"/>
        <w:right w:val="none" w:sz="0" w:space="0" w:color="auto"/>
      </w:divBdr>
    </w:div>
    <w:div w:id="1889106078">
      <w:bodyDiv w:val="1"/>
      <w:marLeft w:val="0"/>
      <w:marRight w:val="0"/>
      <w:marTop w:val="0"/>
      <w:marBottom w:val="0"/>
      <w:divBdr>
        <w:top w:val="none" w:sz="0" w:space="0" w:color="auto"/>
        <w:left w:val="none" w:sz="0" w:space="0" w:color="auto"/>
        <w:bottom w:val="none" w:sz="0" w:space="0" w:color="auto"/>
        <w:right w:val="none" w:sz="0" w:space="0" w:color="auto"/>
      </w:divBdr>
      <w:divsChild>
        <w:div w:id="1376612686">
          <w:marLeft w:val="0"/>
          <w:marRight w:val="0"/>
          <w:marTop w:val="0"/>
          <w:marBottom w:val="0"/>
          <w:divBdr>
            <w:top w:val="none" w:sz="0" w:space="0" w:color="auto"/>
            <w:left w:val="none" w:sz="0" w:space="0" w:color="auto"/>
            <w:bottom w:val="none" w:sz="0" w:space="0" w:color="auto"/>
            <w:right w:val="none" w:sz="0" w:space="0" w:color="auto"/>
          </w:divBdr>
          <w:divsChild>
            <w:div w:id="1055007295">
              <w:marLeft w:val="0"/>
              <w:marRight w:val="0"/>
              <w:marTop w:val="0"/>
              <w:marBottom w:val="0"/>
              <w:divBdr>
                <w:top w:val="none" w:sz="0" w:space="0" w:color="auto"/>
                <w:left w:val="none" w:sz="0" w:space="0" w:color="auto"/>
                <w:bottom w:val="none" w:sz="0" w:space="0" w:color="auto"/>
                <w:right w:val="none" w:sz="0" w:space="0" w:color="auto"/>
              </w:divBdr>
              <w:divsChild>
                <w:div w:id="1051539178">
                  <w:marLeft w:val="0"/>
                  <w:marRight w:val="0"/>
                  <w:marTop w:val="0"/>
                  <w:marBottom w:val="0"/>
                  <w:divBdr>
                    <w:top w:val="none" w:sz="0" w:space="0" w:color="auto"/>
                    <w:left w:val="none" w:sz="0" w:space="0" w:color="auto"/>
                    <w:bottom w:val="none" w:sz="0" w:space="0" w:color="auto"/>
                    <w:right w:val="none" w:sz="0" w:space="0" w:color="auto"/>
                  </w:divBdr>
                  <w:divsChild>
                    <w:div w:id="25116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722616">
      <w:bodyDiv w:val="1"/>
      <w:marLeft w:val="0"/>
      <w:marRight w:val="0"/>
      <w:marTop w:val="0"/>
      <w:marBottom w:val="0"/>
      <w:divBdr>
        <w:top w:val="none" w:sz="0" w:space="0" w:color="auto"/>
        <w:left w:val="none" w:sz="0" w:space="0" w:color="auto"/>
        <w:bottom w:val="none" w:sz="0" w:space="0" w:color="auto"/>
        <w:right w:val="none" w:sz="0" w:space="0" w:color="auto"/>
      </w:divBdr>
      <w:divsChild>
        <w:div w:id="374932791">
          <w:marLeft w:val="0"/>
          <w:marRight w:val="0"/>
          <w:marTop w:val="0"/>
          <w:marBottom w:val="0"/>
          <w:divBdr>
            <w:top w:val="none" w:sz="0" w:space="0" w:color="auto"/>
            <w:left w:val="none" w:sz="0" w:space="0" w:color="auto"/>
            <w:bottom w:val="none" w:sz="0" w:space="0" w:color="auto"/>
            <w:right w:val="none" w:sz="0" w:space="0" w:color="auto"/>
          </w:divBdr>
        </w:div>
        <w:div w:id="412629331">
          <w:marLeft w:val="0"/>
          <w:marRight w:val="0"/>
          <w:marTop w:val="0"/>
          <w:marBottom w:val="0"/>
          <w:divBdr>
            <w:top w:val="none" w:sz="0" w:space="0" w:color="auto"/>
            <w:left w:val="none" w:sz="0" w:space="0" w:color="auto"/>
            <w:bottom w:val="none" w:sz="0" w:space="0" w:color="auto"/>
            <w:right w:val="none" w:sz="0" w:space="0" w:color="auto"/>
          </w:divBdr>
        </w:div>
        <w:div w:id="873619810">
          <w:marLeft w:val="0"/>
          <w:marRight w:val="0"/>
          <w:marTop w:val="0"/>
          <w:marBottom w:val="0"/>
          <w:divBdr>
            <w:top w:val="none" w:sz="0" w:space="0" w:color="auto"/>
            <w:left w:val="none" w:sz="0" w:space="0" w:color="auto"/>
            <w:bottom w:val="none" w:sz="0" w:space="0" w:color="auto"/>
            <w:right w:val="none" w:sz="0" w:space="0" w:color="auto"/>
          </w:divBdr>
        </w:div>
        <w:div w:id="2133598340">
          <w:marLeft w:val="0"/>
          <w:marRight w:val="0"/>
          <w:marTop w:val="0"/>
          <w:marBottom w:val="0"/>
          <w:divBdr>
            <w:top w:val="none" w:sz="0" w:space="0" w:color="auto"/>
            <w:left w:val="none" w:sz="0" w:space="0" w:color="auto"/>
            <w:bottom w:val="none" w:sz="0" w:space="0" w:color="auto"/>
            <w:right w:val="none" w:sz="0" w:space="0" w:color="auto"/>
          </w:divBdr>
        </w:div>
      </w:divsChild>
    </w:div>
    <w:div w:id="1906790919">
      <w:bodyDiv w:val="1"/>
      <w:marLeft w:val="0"/>
      <w:marRight w:val="0"/>
      <w:marTop w:val="0"/>
      <w:marBottom w:val="0"/>
      <w:divBdr>
        <w:top w:val="none" w:sz="0" w:space="0" w:color="auto"/>
        <w:left w:val="none" w:sz="0" w:space="0" w:color="auto"/>
        <w:bottom w:val="none" w:sz="0" w:space="0" w:color="auto"/>
        <w:right w:val="none" w:sz="0" w:space="0" w:color="auto"/>
      </w:divBdr>
    </w:div>
    <w:div w:id="1917743363">
      <w:bodyDiv w:val="1"/>
      <w:marLeft w:val="0"/>
      <w:marRight w:val="0"/>
      <w:marTop w:val="0"/>
      <w:marBottom w:val="0"/>
      <w:divBdr>
        <w:top w:val="none" w:sz="0" w:space="0" w:color="auto"/>
        <w:left w:val="none" w:sz="0" w:space="0" w:color="auto"/>
        <w:bottom w:val="none" w:sz="0" w:space="0" w:color="auto"/>
        <w:right w:val="none" w:sz="0" w:space="0" w:color="auto"/>
      </w:divBdr>
    </w:div>
    <w:div w:id="1918978435">
      <w:bodyDiv w:val="1"/>
      <w:marLeft w:val="0"/>
      <w:marRight w:val="0"/>
      <w:marTop w:val="0"/>
      <w:marBottom w:val="0"/>
      <w:divBdr>
        <w:top w:val="none" w:sz="0" w:space="0" w:color="auto"/>
        <w:left w:val="none" w:sz="0" w:space="0" w:color="auto"/>
        <w:bottom w:val="none" w:sz="0" w:space="0" w:color="auto"/>
        <w:right w:val="none" w:sz="0" w:space="0" w:color="auto"/>
      </w:divBdr>
      <w:divsChild>
        <w:div w:id="676272763">
          <w:marLeft w:val="0"/>
          <w:marRight w:val="0"/>
          <w:marTop w:val="0"/>
          <w:marBottom w:val="0"/>
          <w:divBdr>
            <w:top w:val="none" w:sz="0" w:space="0" w:color="auto"/>
            <w:left w:val="none" w:sz="0" w:space="0" w:color="auto"/>
            <w:bottom w:val="none" w:sz="0" w:space="0" w:color="auto"/>
            <w:right w:val="none" w:sz="0" w:space="0" w:color="auto"/>
          </w:divBdr>
          <w:divsChild>
            <w:div w:id="837036766">
              <w:marLeft w:val="0"/>
              <w:marRight w:val="0"/>
              <w:marTop w:val="0"/>
              <w:marBottom w:val="0"/>
              <w:divBdr>
                <w:top w:val="none" w:sz="0" w:space="0" w:color="auto"/>
                <w:left w:val="none" w:sz="0" w:space="0" w:color="auto"/>
                <w:bottom w:val="none" w:sz="0" w:space="0" w:color="auto"/>
                <w:right w:val="none" w:sz="0" w:space="0" w:color="auto"/>
              </w:divBdr>
              <w:divsChild>
                <w:div w:id="1504585902">
                  <w:marLeft w:val="0"/>
                  <w:marRight w:val="0"/>
                  <w:marTop w:val="0"/>
                  <w:marBottom w:val="0"/>
                  <w:divBdr>
                    <w:top w:val="none" w:sz="0" w:space="0" w:color="auto"/>
                    <w:left w:val="none" w:sz="0" w:space="0" w:color="auto"/>
                    <w:bottom w:val="none" w:sz="0" w:space="0" w:color="auto"/>
                    <w:right w:val="none" w:sz="0" w:space="0" w:color="auto"/>
                  </w:divBdr>
                  <w:divsChild>
                    <w:div w:id="171495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008002">
      <w:bodyDiv w:val="1"/>
      <w:marLeft w:val="0"/>
      <w:marRight w:val="0"/>
      <w:marTop w:val="0"/>
      <w:marBottom w:val="0"/>
      <w:divBdr>
        <w:top w:val="none" w:sz="0" w:space="0" w:color="auto"/>
        <w:left w:val="none" w:sz="0" w:space="0" w:color="auto"/>
        <w:bottom w:val="none" w:sz="0" w:space="0" w:color="auto"/>
        <w:right w:val="none" w:sz="0" w:space="0" w:color="auto"/>
      </w:divBdr>
    </w:div>
    <w:div w:id="1937906016">
      <w:bodyDiv w:val="1"/>
      <w:marLeft w:val="0"/>
      <w:marRight w:val="0"/>
      <w:marTop w:val="0"/>
      <w:marBottom w:val="0"/>
      <w:divBdr>
        <w:top w:val="none" w:sz="0" w:space="0" w:color="auto"/>
        <w:left w:val="none" w:sz="0" w:space="0" w:color="auto"/>
        <w:bottom w:val="none" w:sz="0" w:space="0" w:color="auto"/>
        <w:right w:val="none" w:sz="0" w:space="0" w:color="auto"/>
      </w:divBdr>
    </w:div>
    <w:div w:id="1943226744">
      <w:bodyDiv w:val="1"/>
      <w:marLeft w:val="0"/>
      <w:marRight w:val="0"/>
      <w:marTop w:val="0"/>
      <w:marBottom w:val="0"/>
      <w:divBdr>
        <w:top w:val="none" w:sz="0" w:space="0" w:color="auto"/>
        <w:left w:val="none" w:sz="0" w:space="0" w:color="auto"/>
        <w:bottom w:val="none" w:sz="0" w:space="0" w:color="auto"/>
        <w:right w:val="none" w:sz="0" w:space="0" w:color="auto"/>
      </w:divBdr>
    </w:div>
    <w:div w:id="1952783526">
      <w:bodyDiv w:val="1"/>
      <w:marLeft w:val="0"/>
      <w:marRight w:val="0"/>
      <w:marTop w:val="0"/>
      <w:marBottom w:val="0"/>
      <w:divBdr>
        <w:top w:val="none" w:sz="0" w:space="0" w:color="auto"/>
        <w:left w:val="none" w:sz="0" w:space="0" w:color="auto"/>
        <w:bottom w:val="none" w:sz="0" w:space="0" w:color="auto"/>
        <w:right w:val="none" w:sz="0" w:space="0" w:color="auto"/>
      </w:divBdr>
      <w:divsChild>
        <w:div w:id="775096157">
          <w:marLeft w:val="0"/>
          <w:marRight w:val="0"/>
          <w:marTop w:val="0"/>
          <w:marBottom w:val="0"/>
          <w:divBdr>
            <w:top w:val="none" w:sz="0" w:space="0" w:color="auto"/>
            <w:left w:val="none" w:sz="0" w:space="0" w:color="auto"/>
            <w:bottom w:val="none" w:sz="0" w:space="0" w:color="auto"/>
            <w:right w:val="none" w:sz="0" w:space="0" w:color="auto"/>
          </w:divBdr>
          <w:divsChild>
            <w:div w:id="242564892">
              <w:marLeft w:val="0"/>
              <w:marRight w:val="0"/>
              <w:marTop w:val="0"/>
              <w:marBottom w:val="0"/>
              <w:divBdr>
                <w:top w:val="none" w:sz="0" w:space="0" w:color="auto"/>
                <w:left w:val="none" w:sz="0" w:space="0" w:color="auto"/>
                <w:bottom w:val="none" w:sz="0" w:space="0" w:color="auto"/>
                <w:right w:val="none" w:sz="0" w:space="0" w:color="auto"/>
              </w:divBdr>
              <w:divsChild>
                <w:div w:id="194630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563267">
      <w:marLeft w:val="0"/>
      <w:marRight w:val="0"/>
      <w:marTop w:val="0"/>
      <w:marBottom w:val="0"/>
      <w:divBdr>
        <w:top w:val="none" w:sz="0" w:space="0" w:color="auto"/>
        <w:left w:val="none" w:sz="0" w:space="0" w:color="auto"/>
        <w:bottom w:val="none" w:sz="0" w:space="0" w:color="auto"/>
        <w:right w:val="none" w:sz="0" w:space="0" w:color="auto"/>
      </w:divBdr>
    </w:div>
    <w:div w:id="1961497182">
      <w:bodyDiv w:val="1"/>
      <w:marLeft w:val="0"/>
      <w:marRight w:val="0"/>
      <w:marTop w:val="0"/>
      <w:marBottom w:val="0"/>
      <w:divBdr>
        <w:top w:val="none" w:sz="0" w:space="0" w:color="auto"/>
        <w:left w:val="none" w:sz="0" w:space="0" w:color="auto"/>
        <w:bottom w:val="none" w:sz="0" w:space="0" w:color="auto"/>
        <w:right w:val="none" w:sz="0" w:space="0" w:color="auto"/>
      </w:divBdr>
    </w:div>
    <w:div w:id="1961960762">
      <w:bodyDiv w:val="1"/>
      <w:marLeft w:val="0"/>
      <w:marRight w:val="0"/>
      <w:marTop w:val="0"/>
      <w:marBottom w:val="0"/>
      <w:divBdr>
        <w:top w:val="none" w:sz="0" w:space="0" w:color="auto"/>
        <w:left w:val="none" w:sz="0" w:space="0" w:color="auto"/>
        <w:bottom w:val="none" w:sz="0" w:space="0" w:color="auto"/>
        <w:right w:val="none" w:sz="0" w:space="0" w:color="auto"/>
      </w:divBdr>
    </w:div>
    <w:div w:id="1965237026">
      <w:bodyDiv w:val="1"/>
      <w:marLeft w:val="0"/>
      <w:marRight w:val="0"/>
      <w:marTop w:val="0"/>
      <w:marBottom w:val="0"/>
      <w:divBdr>
        <w:top w:val="none" w:sz="0" w:space="0" w:color="auto"/>
        <w:left w:val="none" w:sz="0" w:space="0" w:color="auto"/>
        <w:bottom w:val="none" w:sz="0" w:space="0" w:color="auto"/>
        <w:right w:val="none" w:sz="0" w:space="0" w:color="auto"/>
      </w:divBdr>
    </w:div>
    <w:div w:id="1965504340">
      <w:bodyDiv w:val="1"/>
      <w:marLeft w:val="0"/>
      <w:marRight w:val="0"/>
      <w:marTop w:val="0"/>
      <w:marBottom w:val="0"/>
      <w:divBdr>
        <w:top w:val="none" w:sz="0" w:space="0" w:color="auto"/>
        <w:left w:val="none" w:sz="0" w:space="0" w:color="auto"/>
        <w:bottom w:val="none" w:sz="0" w:space="0" w:color="auto"/>
        <w:right w:val="none" w:sz="0" w:space="0" w:color="auto"/>
      </w:divBdr>
    </w:div>
    <w:div w:id="1977954210">
      <w:bodyDiv w:val="1"/>
      <w:marLeft w:val="0"/>
      <w:marRight w:val="0"/>
      <w:marTop w:val="0"/>
      <w:marBottom w:val="0"/>
      <w:divBdr>
        <w:top w:val="none" w:sz="0" w:space="0" w:color="auto"/>
        <w:left w:val="none" w:sz="0" w:space="0" w:color="auto"/>
        <w:bottom w:val="none" w:sz="0" w:space="0" w:color="auto"/>
        <w:right w:val="none" w:sz="0" w:space="0" w:color="auto"/>
      </w:divBdr>
    </w:div>
    <w:div w:id="1990287692">
      <w:bodyDiv w:val="1"/>
      <w:marLeft w:val="0"/>
      <w:marRight w:val="0"/>
      <w:marTop w:val="0"/>
      <w:marBottom w:val="0"/>
      <w:divBdr>
        <w:top w:val="none" w:sz="0" w:space="0" w:color="auto"/>
        <w:left w:val="none" w:sz="0" w:space="0" w:color="auto"/>
        <w:bottom w:val="none" w:sz="0" w:space="0" w:color="auto"/>
        <w:right w:val="none" w:sz="0" w:space="0" w:color="auto"/>
      </w:divBdr>
      <w:divsChild>
        <w:div w:id="669675020">
          <w:marLeft w:val="0"/>
          <w:marRight w:val="0"/>
          <w:marTop w:val="0"/>
          <w:marBottom w:val="0"/>
          <w:divBdr>
            <w:top w:val="none" w:sz="0" w:space="0" w:color="auto"/>
            <w:left w:val="none" w:sz="0" w:space="0" w:color="auto"/>
            <w:bottom w:val="none" w:sz="0" w:space="0" w:color="auto"/>
            <w:right w:val="none" w:sz="0" w:space="0" w:color="auto"/>
          </w:divBdr>
          <w:divsChild>
            <w:div w:id="197278175">
              <w:marLeft w:val="0"/>
              <w:marRight w:val="0"/>
              <w:marTop w:val="0"/>
              <w:marBottom w:val="0"/>
              <w:divBdr>
                <w:top w:val="none" w:sz="0" w:space="0" w:color="auto"/>
                <w:left w:val="none" w:sz="0" w:space="0" w:color="auto"/>
                <w:bottom w:val="none" w:sz="0" w:space="0" w:color="auto"/>
                <w:right w:val="none" w:sz="0" w:space="0" w:color="auto"/>
              </w:divBdr>
              <w:divsChild>
                <w:div w:id="189661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066958">
      <w:bodyDiv w:val="1"/>
      <w:marLeft w:val="0"/>
      <w:marRight w:val="0"/>
      <w:marTop w:val="0"/>
      <w:marBottom w:val="0"/>
      <w:divBdr>
        <w:top w:val="none" w:sz="0" w:space="0" w:color="auto"/>
        <w:left w:val="none" w:sz="0" w:space="0" w:color="auto"/>
        <w:bottom w:val="none" w:sz="0" w:space="0" w:color="auto"/>
        <w:right w:val="none" w:sz="0" w:space="0" w:color="auto"/>
      </w:divBdr>
      <w:divsChild>
        <w:div w:id="528371467">
          <w:marLeft w:val="0"/>
          <w:marRight w:val="0"/>
          <w:marTop w:val="0"/>
          <w:marBottom w:val="0"/>
          <w:divBdr>
            <w:top w:val="none" w:sz="0" w:space="0" w:color="auto"/>
            <w:left w:val="none" w:sz="0" w:space="0" w:color="auto"/>
            <w:bottom w:val="none" w:sz="0" w:space="0" w:color="auto"/>
            <w:right w:val="none" w:sz="0" w:space="0" w:color="auto"/>
          </w:divBdr>
          <w:divsChild>
            <w:div w:id="308902354">
              <w:marLeft w:val="0"/>
              <w:marRight w:val="0"/>
              <w:marTop w:val="0"/>
              <w:marBottom w:val="0"/>
              <w:divBdr>
                <w:top w:val="none" w:sz="0" w:space="0" w:color="auto"/>
                <w:left w:val="none" w:sz="0" w:space="0" w:color="auto"/>
                <w:bottom w:val="none" w:sz="0" w:space="0" w:color="auto"/>
                <w:right w:val="none" w:sz="0" w:space="0" w:color="auto"/>
              </w:divBdr>
              <w:divsChild>
                <w:div w:id="9574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034181">
      <w:bodyDiv w:val="1"/>
      <w:marLeft w:val="0"/>
      <w:marRight w:val="0"/>
      <w:marTop w:val="0"/>
      <w:marBottom w:val="0"/>
      <w:divBdr>
        <w:top w:val="none" w:sz="0" w:space="0" w:color="auto"/>
        <w:left w:val="none" w:sz="0" w:space="0" w:color="auto"/>
        <w:bottom w:val="none" w:sz="0" w:space="0" w:color="auto"/>
        <w:right w:val="none" w:sz="0" w:space="0" w:color="auto"/>
      </w:divBdr>
    </w:div>
    <w:div w:id="2005472798">
      <w:bodyDiv w:val="1"/>
      <w:marLeft w:val="0"/>
      <w:marRight w:val="0"/>
      <w:marTop w:val="0"/>
      <w:marBottom w:val="0"/>
      <w:divBdr>
        <w:top w:val="none" w:sz="0" w:space="0" w:color="auto"/>
        <w:left w:val="none" w:sz="0" w:space="0" w:color="auto"/>
        <w:bottom w:val="none" w:sz="0" w:space="0" w:color="auto"/>
        <w:right w:val="none" w:sz="0" w:space="0" w:color="auto"/>
      </w:divBdr>
    </w:div>
    <w:div w:id="2007391289">
      <w:bodyDiv w:val="1"/>
      <w:marLeft w:val="0"/>
      <w:marRight w:val="0"/>
      <w:marTop w:val="0"/>
      <w:marBottom w:val="0"/>
      <w:divBdr>
        <w:top w:val="none" w:sz="0" w:space="0" w:color="auto"/>
        <w:left w:val="none" w:sz="0" w:space="0" w:color="auto"/>
        <w:bottom w:val="none" w:sz="0" w:space="0" w:color="auto"/>
        <w:right w:val="none" w:sz="0" w:space="0" w:color="auto"/>
      </w:divBdr>
      <w:divsChild>
        <w:div w:id="981040597">
          <w:marLeft w:val="0"/>
          <w:marRight w:val="0"/>
          <w:marTop w:val="0"/>
          <w:marBottom w:val="0"/>
          <w:divBdr>
            <w:top w:val="none" w:sz="0" w:space="0" w:color="auto"/>
            <w:left w:val="none" w:sz="0" w:space="0" w:color="auto"/>
            <w:bottom w:val="none" w:sz="0" w:space="0" w:color="auto"/>
            <w:right w:val="none" w:sz="0" w:space="0" w:color="auto"/>
          </w:divBdr>
          <w:divsChild>
            <w:div w:id="657728606">
              <w:marLeft w:val="0"/>
              <w:marRight w:val="0"/>
              <w:marTop w:val="0"/>
              <w:marBottom w:val="0"/>
              <w:divBdr>
                <w:top w:val="none" w:sz="0" w:space="0" w:color="auto"/>
                <w:left w:val="none" w:sz="0" w:space="0" w:color="auto"/>
                <w:bottom w:val="none" w:sz="0" w:space="0" w:color="auto"/>
                <w:right w:val="none" w:sz="0" w:space="0" w:color="auto"/>
              </w:divBdr>
              <w:divsChild>
                <w:div w:id="56822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970214">
      <w:bodyDiv w:val="1"/>
      <w:marLeft w:val="0"/>
      <w:marRight w:val="0"/>
      <w:marTop w:val="0"/>
      <w:marBottom w:val="0"/>
      <w:divBdr>
        <w:top w:val="none" w:sz="0" w:space="0" w:color="auto"/>
        <w:left w:val="none" w:sz="0" w:space="0" w:color="auto"/>
        <w:bottom w:val="none" w:sz="0" w:space="0" w:color="auto"/>
        <w:right w:val="none" w:sz="0" w:space="0" w:color="auto"/>
      </w:divBdr>
    </w:div>
    <w:div w:id="2009093683">
      <w:bodyDiv w:val="1"/>
      <w:marLeft w:val="0"/>
      <w:marRight w:val="0"/>
      <w:marTop w:val="0"/>
      <w:marBottom w:val="0"/>
      <w:divBdr>
        <w:top w:val="none" w:sz="0" w:space="0" w:color="auto"/>
        <w:left w:val="none" w:sz="0" w:space="0" w:color="auto"/>
        <w:bottom w:val="none" w:sz="0" w:space="0" w:color="auto"/>
        <w:right w:val="none" w:sz="0" w:space="0" w:color="auto"/>
      </w:divBdr>
    </w:div>
    <w:div w:id="2014844379">
      <w:bodyDiv w:val="1"/>
      <w:marLeft w:val="0"/>
      <w:marRight w:val="0"/>
      <w:marTop w:val="0"/>
      <w:marBottom w:val="0"/>
      <w:divBdr>
        <w:top w:val="none" w:sz="0" w:space="0" w:color="auto"/>
        <w:left w:val="none" w:sz="0" w:space="0" w:color="auto"/>
        <w:bottom w:val="none" w:sz="0" w:space="0" w:color="auto"/>
        <w:right w:val="none" w:sz="0" w:space="0" w:color="auto"/>
      </w:divBdr>
    </w:div>
    <w:div w:id="2028166135">
      <w:bodyDiv w:val="1"/>
      <w:marLeft w:val="0"/>
      <w:marRight w:val="0"/>
      <w:marTop w:val="0"/>
      <w:marBottom w:val="0"/>
      <w:divBdr>
        <w:top w:val="none" w:sz="0" w:space="0" w:color="auto"/>
        <w:left w:val="none" w:sz="0" w:space="0" w:color="auto"/>
        <w:bottom w:val="none" w:sz="0" w:space="0" w:color="auto"/>
        <w:right w:val="none" w:sz="0" w:space="0" w:color="auto"/>
      </w:divBdr>
      <w:divsChild>
        <w:div w:id="2019623402">
          <w:marLeft w:val="0"/>
          <w:marRight w:val="0"/>
          <w:marTop w:val="0"/>
          <w:marBottom w:val="0"/>
          <w:divBdr>
            <w:top w:val="none" w:sz="0" w:space="0" w:color="auto"/>
            <w:left w:val="none" w:sz="0" w:space="0" w:color="auto"/>
            <w:bottom w:val="none" w:sz="0" w:space="0" w:color="auto"/>
            <w:right w:val="none" w:sz="0" w:space="0" w:color="auto"/>
          </w:divBdr>
          <w:divsChild>
            <w:div w:id="448400221">
              <w:marLeft w:val="0"/>
              <w:marRight w:val="0"/>
              <w:marTop w:val="0"/>
              <w:marBottom w:val="0"/>
              <w:divBdr>
                <w:top w:val="none" w:sz="0" w:space="0" w:color="auto"/>
                <w:left w:val="none" w:sz="0" w:space="0" w:color="auto"/>
                <w:bottom w:val="none" w:sz="0" w:space="0" w:color="auto"/>
                <w:right w:val="none" w:sz="0" w:space="0" w:color="auto"/>
              </w:divBdr>
              <w:divsChild>
                <w:div w:id="35299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36123">
      <w:bodyDiv w:val="1"/>
      <w:marLeft w:val="0"/>
      <w:marRight w:val="0"/>
      <w:marTop w:val="0"/>
      <w:marBottom w:val="0"/>
      <w:divBdr>
        <w:top w:val="none" w:sz="0" w:space="0" w:color="auto"/>
        <w:left w:val="none" w:sz="0" w:space="0" w:color="auto"/>
        <w:bottom w:val="none" w:sz="0" w:space="0" w:color="auto"/>
        <w:right w:val="none" w:sz="0" w:space="0" w:color="auto"/>
      </w:divBdr>
      <w:divsChild>
        <w:div w:id="1558975492">
          <w:marLeft w:val="0"/>
          <w:marRight w:val="0"/>
          <w:marTop w:val="0"/>
          <w:marBottom w:val="0"/>
          <w:divBdr>
            <w:top w:val="none" w:sz="0" w:space="0" w:color="auto"/>
            <w:left w:val="none" w:sz="0" w:space="0" w:color="auto"/>
            <w:bottom w:val="none" w:sz="0" w:space="0" w:color="auto"/>
            <w:right w:val="none" w:sz="0" w:space="0" w:color="auto"/>
          </w:divBdr>
          <w:divsChild>
            <w:div w:id="924608865">
              <w:marLeft w:val="0"/>
              <w:marRight w:val="0"/>
              <w:marTop w:val="0"/>
              <w:marBottom w:val="0"/>
              <w:divBdr>
                <w:top w:val="none" w:sz="0" w:space="0" w:color="auto"/>
                <w:left w:val="none" w:sz="0" w:space="0" w:color="auto"/>
                <w:bottom w:val="none" w:sz="0" w:space="0" w:color="auto"/>
                <w:right w:val="none" w:sz="0" w:space="0" w:color="auto"/>
              </w:divBdr>
              <w:divsChild>
                <w:div w:id="910431952">
                  <w:marLeft w:val="0"/>
                  <w:marRight w:val="0"/>
                  <w:marTop w:val="0"/>
                  <w:marBottom w:val="0"/>
                  <w:divBdr>
                    <w:top w:val="none" w:sz="0" w:space="0" w:color="auto"/>
                    <w:left w:val="none" w:sz="0" w:space="0" w:color="auto"/>
                    <w:bottom w:val="none" w:sz="0" w:space="0" w:color="auto"/>
                    <w:right w:val="none" w:sz="0" w:space="0" w:color="auto"/>
                  </w:divBdr>
                  <w:divsChild>
                    <w:div w:id="190856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278552">
      <w:bodyDiv w:val="1"/>
      <w:marLeft w:val="0"/>
      <w:marRight w:val="0"/>
      <w:marTop w:val="0"/>
      <w:marBottom w:val="0"/>
      <w:divBdr>
        <w:top w:val="none" w:sz="0" w:space="0" w:color="auto"/>
        <w:left w:val="none" w:sz="0" w:space="0" w:color="auto"/>
        <w:bottom w:val="none" w:sz="0" w:space="0" w:color="auto"/>
        <w:right w:val="none" w:sz="0" w:space="0" w:color="auto"/>
      </w:divBdr>
    </w:div>
    <w:div w:id="2047558185">
      <w:bodyDiv w:val="1"/>
      <w:marLeft w:val="0"/>
      <w:marRight w:val="0"/>
      <w:marTop w:val="0"/>
      <w:marBottom w:val="0"/>
      <w:divBdr>
        <w:top w:val="none" w:sz="0" w:space="0" w:color="auto"/>
        <w:left w:val="none" w:sz="0" w:space="0" w:color="auto"/>
        <w:bottom w:val="none" w:sz="0" w:space="0" w:color="auto"/>
        <w:right w:val="none" w:sz="0" w:space="0" w:color="auto"/>
      </w:divBdr>
    </w:div>
    <w:div w:id="2058312151">
      <w:bodyDiv w:val="1"/>
      <w:marLeft w:val="0"/>
      <w:marRight w:val="0"/>
      <w:marTop w:val="0"/>
      <w:marBottom w:val="0"/>
      <w:divBdr>
        <w:top w:val="none" w:sz="0" w:space="0" w:color="auto"/>
        <w:left w:val="none" w:sz="0" w:space="0" w:color="auto"/>
        <w:bottom w:val="none" w:sz="0" w:space="0" w:color="auto"/>
        <w:right w:val="none" w:sz="0" w:space="0" w:color="auto"/>
      </w:divBdr>
    </w:div>
    <w:div w:id="2059469014">
      <w:bodyDiv w:val="1"/>
      <w:marLeft w:val="0"/>
      <w:marRight w:val="0"/>
      <w:marTop w:val="0"/>
      <w:marBottom w:val="0"/>
      <w:divBdr>
        <w:top w:val="none" w:sz="0" w:space="0" w:color="auto"/>
        <w:left w:val="none" w:sz="0" w:space="0" w:color="auto"/>
        <w:bottom w:val="none" w:sz="0" w:space="0" w:color="auto"/>
        <w:right w:val="none" w:sz="0" w:space="0" w:color="auto"/>
      </w:divBdr>
    </w:div>
    <w:div w:id="2066440419">
      <w:bodyDiv w:val="1"/>
      <w:marLeft w:val="0"/>
      <w:marRight w:val="0"/>
      <w:marTop w:val="0"/>
      <w:marBottom w:val="0"/>
      <w:divBdr>
        <w:top w:val="none" w:sz="0" w:space="0" w:color="auto"/>
        <w:left w:val="none" w:sz="0" w:space="0" w:color="auto"/>
        <w:bottom w:val="none" w:sz="0" w:space="0" w:color="auto"/>
        <w:right w:val="none" w:sz="0" w:space="0" w:color="auto"/>
      </w:divBdr>
    </w:div>
    <w:div w:id="2072655170">
      <w:bodyDiv w:val="1"/>
      <w:marLeft w:val="0"/>
      <w:marRight w:val="0"/>
      <w:marTop w:val="0"/>
      <w:marBottom w:val="0"/>
      <w:divBdr>
        <w:top w:val="none" w:sz="0" w:space="0" w:color="auto"/>
        <w:left w:val="none" w:sz="0" w:space="0" w:color="auto"/>
        <w:bottom w:val="none" w:sz="0" w:space="0" w:color="auto"/>
        <w:right w:val="none" w:sz="0" w:space="0" w:color="auto"/>
      </w:divBdr>
    </w:div>
    <w:div w:id="2078934593">
      <w:bodyDiv w:val="1"/>
      <w:marLeft w:val="0"/>
      <w:marRight w:val="0"/>
      <w:marTop w:val="0"/>
      <w:marBottom w:val="0"/>
      <w:divBdr>
        <w:top w:val="none" w:sz="0" w:space="0" w:color="auto"/>
        <w:left w:val="none" w:sz="0" w:space="0" w:color="auto"/>
        <w:bottom w:val="none" w:sz="0" w:space="0" w:color="auto"/>
        <w:right w:val="none" w:sz="0" w:space="0" w:color="auto"/>
      </w:divBdr>
    </w:div>
    <w:div w:id="2093579578">
      <w:bodyDiv w:val="1"/>
      <w:marLeft w:val="0"/>
      <w:marRight w:val="0"/>
      <w:marTop w:val="0"/>
      <w:marBottom w:val="0"/>
      <w:divBdr>
        <w:top w:val="none" w:sz="0" w:space="0" w:color="auto"/>
        <w:left w:val="none" w:sz="0" w:space="0" w:color="auto"/>
        <w:bottom w:val="none" w:sz="0" w:space="0" w:color="auto"/>
        <w:right w:val="none" w:sz="0" w:space="0" w:color="auto"/>
      </w:divBdr>
      <w:divsChild>
        <w:div w:id="453794535">
          <w:marLeft w:val="0"/>
          <w:marRight w:val="0"/>
          <w:marTop w:val="0"/>
          <w:marBottom w:val="0"/>
          <w:divBdr>
            <w:top w:val="none" w:sz="0" w:space="0" w:color="auto"/>
            <w:left w:val="none" w:sz="0" w:space="0" w:color="auto"/>
            <w:bottom w:val="none" w:sz="0" w:space="0" w:color="auto"/>
            <w:right w:val="none" w:sz="0" w:space="0" w:color="auto"/>
          </w:divBdr>
          <w:divsChild>
            <w:div w:id="2042513654">
              <w:marLeft w:val="0"/>
              <w:marRight w:val="0"/>
              <w:marTop w:val="0"/>
              <w:marBottom w:val="0"/>
              <w:divBdr>
                <w:top w:val="none" w:sz="0" w:space="0" w:color="auto"/>
                <w:left w:val="none" w:sz="0" w:space="0" w:color="auto"/>
                <w:bottom w:val="none" w:sz="0" w:space="0" w:color="auto"/>
                <w:right w:val="none" w:sz="0" w:space="0" w:color="auto"/>
              </w:divBdr>
              <w:divsChild>
                <w:div w:id="404768366">
                  <w:marLeft w:val="0"/>
                  <w:marRight w:val="0"/>
                  <w:marTop w:val="0"/>
                  <w:marBottom w:val="0"/>
                  <w:divBdr>
                    <w:top w:val="none" w:sz="0" w:space="0" w:color="auto"/>
                    <w:left w:val="none" w:sz="0" w:space="0" w:color="auto"/>
                    <w:bottom w:val="none" w:sz="0" w:space="0" w:color="auto"/>
                    <w:right w:val="none" w:sz="0" w:space="0" w:color="auto"/>
                  </w:divBdr>
                  <w:divsChild>
                    <w:div w:id="122502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750825">
      <w:bodyDiv w:val="1"/>
      <w:marLeft w:val="0"/>
      <w:marRight w:val="0"/>
      <w:marTop w:val="0"/>
      <w:marBottom w:val="0"/>
      <w:divBdr>
        <w:top w:val="none" w:sz="0" w:space="0" w:color="auto"/>
        <w:left w:val="none" w:sz="0" w:space="0" w:color="auto"/>
        <w:bottom w:val="none" w:sz="0" w:space="0" w:color="auto"/>
        <w:right w:val="none" w:sz="0" w:space="0" w:color="auto"/>
      </w:divBdr>
    </w:div>
    <w:div w:id="2110081614">
      <w:bodyDiv w:val="1"/>
      <w:marLeft w:val="0"/>
      <w:marRight w:val="0"/>
      <w:marTop w:val="0"/>
      <w:marBottom w:val="0"/>
      <w:divBdr>
        <w:top w:val="none" w:sz="0" w:space="0" w:color="auto"/>
        <w:left w:val="none" w:sz="0" w:space="0" w:color="auto"/>
        <w:bottom w:val="none" w:sz="0" w:space="0" w:color="auto"/>
        <w:right w:val="none" w:sz="0" w:space="0" w:color="auto"/>
      </w:divBdr>
    </w:div>
    <w:div w:id="2112892603">
      <w:bodyDiv w:val="1"/>
      <w:marLeft w:val="0"/>
      <w:marRight w:val="0"/>
      <w:marTop w:val="0"/>
      <w:marBottom w:val="0"/>
      <w:divBdr>
        <w:top w:val="none" w:sz="0" w:space="0" w:color="auto"/>
        <w:left w:val="none" w:sz="0" w:space="0" w:color="auto"/>
        <w:bottom w:val="none" w:sz="0" w:space="0" w:color="auto"/>
        <w:right w:val="none" w:sz="0" w:space="0" w:color="auto"/>
      </w:divBdr>
    </w:div>
    <w:div w:id="2113162181">
      <w:bodyDiv w:val="1"/>
      <w:marLeft w:val="0"/>
      <w:marRight w:val="0"/>
      <w:marTop w:val="0"/>
      <w:marBottom w:val="0"/>
      <w:divBdr>
        <w:top w:val="none" w:sz="0" w:space="0" w:color="auto"/>
        <w:left w:val="none" w:sz="0" w:space="0" w:color="auto"/>
        <w:bottom w:val="none" w:sz="0" w:space="0" w:color="auto"/>
        <w:right w:val="none" w:sz="0" w:space="0" w:color="auto"/>
      </w:divBdr>
    </w:div>
    <w:div w:id="2127963245">
      <w:bodyDiv w:val="1"/>
      <w:marLeft w:val="0"/>
      <w:marRight w:val="0"/>
      <w:marTop w:val="0"/>
      <w:marBottom w:val="0"/>
      <w:divBdr>
        <w:top w:val="none" w:sz="0" w:space="0" w:color="auto"/>
        <w:left w:val="none" w:sz="0" w:space="0" w:color="auto"/>
        <w:bottom w:val="none" w:sz="0" w:space="0" w:color="auto"/>
        <w:right w:val="none" w:sz="0" w:space="0" w:color="auto"/>
      </w:divBdr>
    </w:div>
    <w:div w:id="213104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image" Target="media/image7.jpg"/><Relationship Id="rId26" Type="http://schemas.openxmlformats.org/officeDocument/2006/relationships/hyperlink" Target="https://www.seatrade-cruise.com/news-headlines/liverpools-cruise-terminal-celebrating-10th-anniversary" TargetMode="External"/><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6.png"/><Relationship Id="rId25" Type="http://schemas.openxmlformats.org/officeDocument/2006/relationships/hyperlink" Target="https://investhull.co.uk/latest-news/hulls-tourism-economy-tops-300-million"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g"/><Relationship Id="rId29" Type="http://schemas.openxmlformats.org/officeDocument/2006/relationships/hyperlink" Target="https://www.ons.gov.uk/peoplepopulationandcommunity/populationandmigration/populationestimates/articles/highstreetsingreatbritain/2019-06-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www.rw-invest.com/liverpool/liverpool-population-doubles-after-10-years-on-the-up/" TargetMode="External"/><Relationship Id="rId10" Type="http://schemas.openxmlformats.org/officeDocument/2006/relationships/chart" Target="charts/chart1.xml"/><Relationship Id="rId19" Type="http://schemas.openxmlformats.org/officeDocument/2006/relationships/image" Target="media/image8.jp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 Id="rId22" Type="http://schemas.openxmlformats.org/officeDocument/2006/relationships/image" Target="media/image11.jpg"/><Relationship Id="rId27" Type="http://schemas.openxmlformats.org/officeDocument/2006/relationships/hyperlink" Target="https://investhull.co.uk/sectors/leisure-tourism-retail" TargetMode="Externa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oleObject" Target="file:////stfdata08.shef.ac.uk\HOME\TR\Tr1ccj\Cath%20Sheffield\papers\Allison\ESRC\Case%20studies\Rankings.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oleObject" Target="file:////Volumes/AMO_NO_2/REPAIR%20LITERATURE%20REVIEW/HDH%20Ranking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8804878516769026E-2"/>
          <c:y val="4.2541023767855735E-2"/>
          <c:w val="0.77006984197881534"/>
          <c:h val="0.82934624160560844"/>
        </c:manualLayout>
      </c:layout>
      <c:lineChart>
        <c:grouping val="standard"/>
        <c:varyColors val="0"/>
        <c:ser>
          <c:idx val="0"/>
          <c:order val="0"/>
          <c:tx>
            <c:strRef>
              <c:f>'MBS 1961-95'!$A$3</c:f>
              <c:strCache>
                <c:ptCount val="1"/>
                <c:pt idx="0">
                  <c:v>Glasgow</c:v>
                </c:pt>
              </c:strCache>
            </c:strRef>
          </c:tx>
          <c:spPr>
            <a:ln>
              <a:solidFill>
                <a:schemeClr val="accent1"/>
              </a:solidFill>
            </a:ln>
          </c:spPr>
          <c:cat>
            <c:numRef>
              <c:f>'MBS 1961-95'!$B$2:$AL$2</c:f>
              <c:numCache>
                <c:formatCode>General</c:formatCode>
                <c:ptCount val="37"/>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numCache>
            </c:numRef>
          </c:cat>
          <c:val>
            <c:numRef>
              <c:f>'MBS 1961-95'!$B$3:$AL$3</c:f>
              <c:numCache>
                <c:formatCode>General</c:formatCode>
                <c:ptCount val="37"/>
                <c:pt idx="0">
                  <c:v>2</c:v>
                </c:pt>
                <c:pt idx="10">
                  <c:v>2</c:v>
                </c:pt>
                <c:pt idx="23">
                  <c:v>3</c:v>
                </c:pt>
                <c:pt idx="28">
                  <c:v>2</c:v>
                </c:pt>
                <c:pt idx="34">
                  <c:v>2</c:v>
                </c:pt>
              </c:numCache>
            </c:numRef>
          </c:val>
          <c:smooth val="0"/>
          <c:extLst>
            <c:ext xmlns:c16="http://schemas.microsoft.com/office/drawing/2014/chart" uri="{C3380CC4-5D6E-409C-BE32-E72D297353CC}">
              <c16:uniqueId val="{00000000-B7BA-D046-9895-7ECB30ECBE26}"/>
            </c:ext>
          </c:extLst>
        </c:ser>
        <c:ser>
          <c:idx val="1"/>
          <c:order val="1"/>
          <c:tx>
            <c:strRef>
              <c:f>'MBS 1961-95'!$A$4</c:f>
              <c:strCache>
                <c:ptCount val="1"/>
                <c:pt idx="0">
                  <c:v>Edinburgh</c:v>
                </c:pt>
              </c:strCache>
            </c:strRef>
          </c:tx>
          <c:cat>
            <c:numRef>
              <c:f>'MBS 1961-95'!$B$2:$AL$2</c:f>
              <c:numCache>
                <c:formatCode>General</c:formatCode>
                <c:ptCount val="37"/>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numCache>
            </c:numRef>
          </c:cat>
          <c:val>
            <c:numRef>
              <c:f>'MBS 1961-95'!$B$4:$AL$4</c:f>
              <c:numCache>
                <c:formatCode>General</c:formatCode>
                <c:ptCount val="37"/>
                <c:pt idx="0">
                  <c:v>6</c:v>
                </c:pt>
                <c:pt idx="10">
                  <c:v>5</c:v>
                </c:pt>
                <c:pt idx="23">
                  <c:v>4</c:v>
                </c:pt>
                <c:pt idx="28">
                  <c:v>5</c:v>
                </c:pt>
                <c:pt idx="34">
                  <c:v>5</c:v>
                </c:pt>
              </c:numCache>
            </c:numRef>
          </c:val>
          <c:smooth val="0"/>
          <c:extLst>
            <c:ext xmlns:c16="http://schemas.microsoft.com/office/drawing/2014/chart" uri="{C3380CC4-5D6E-409C-BE32-E72D297353CC}">
              <c16:uniqueId val="{00000001-B7BA-D046-9895-7ECB30ECBE26}"/>
            </c:ext>
          </c:extLst>
        </c:ser>
        <c:ser>
          <c:idx val="2"/>
          <c:order val="2"/>
          <c:tx>
            <c:strRef>
              <c:f>'MBS 1961-95'!$A$5</c:f>
              <c:strCache>
                <c:ptCount val="1"/>
                <c:pt idx="0">
                  <c:v>Liverpool</c:v>
                </c:pt>
              </c:strCache>
            </c:strRef>
          </c:tx>
          <c:cat>
            <c:numRef>
              <c:f>'MBS 1961-95'!$B$2:$AL$2</c:f>
              <c:numCache>
                <c:formatCode>General</c:formatCode>
                <c:ptCount val="37"/>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numCache>
            </c:numRef>
          </c:cat>
          <c:val>
            <c:numRef>
              <c:f>'MBS 1961-95'!$B$5:$AL$5</c:f>
              <c:numCache>
                <c:formatCode>General</c:formatCode>
                <c:ptCount val="37"/>
                <c:pt idx="0">
                  <c:v>3</c:v>
                </c:pt>
                <c:pt idx="10">
                  <c:v>3</c:v>
                </c:pt>
                <c:pt idx="23">
                  <c:v>10</c:v>
                </c:pt>
                <c:pt idx="28">
                  <c:v>12</c:v>
                </c:pt>
                <c:pt idx="34">
                  <c:v>17</c:v>
                </c:pt>
              </c:numCache>
            </c:numRef>
          </c:val>
          <c:smooth val="0"/>
          <c:extLst>
            <c:ext xmlns:c16="http://schemas.microsoft.com/office/drawing/2014/chart" uri="{C3380CC4-5D6E-409C-BE32-E72D297353CC}">
              <c16:uniqueId val="{00000002-B7BA-D046-9895-7ECB30ECBE26}"/>
            </c:ext>
          </c:extLst>
        </c:ser>
        <c:ser>
          <c:idx val="3"/>
          <c:order val="3"/>
          <c:tx>
            <c:strRef>
              <c:f>'MBS 1961-95'!$A$6</c:f>
              <c:strCache>
                <c:ptCount val="1"/>
                <c:pt idx="0">
                  <c:v>Hull</c:v>
                </c:pt>
              </c:strCache>
            </c:strRef>
          </c:tx>
          <c:spPr>
            <a:ln>
              <a:solidFill>
                <a:srgbClr val="7030A0"/>
              </a:solidFill>
            </a:ln>
          </c:spPr>
          <c:cat>
            <c:numRef>
              <c:f>'MBS 1961-95'!$B$2:$AL$2</c:f>
              <c:numCache>
                <c:formatCode>General</c:formatCode>
                <c:ptCount val="37"/>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numCache>
            </c:numRef>
          </c:cat>
          <c:val>
            <c:numRef>
              <c:f>'MBS 1961-95'!$B$6:$AL$6</c:f>
              <c:numCache>
                <c:formatCode>General</c:formatCode>
                <c:ptCount val="37"/>
                <c:pt idx="0">
                  <c:v>13</c:v>
                </c:pt>
                <c:pt idx="10">
                  <c:v>19</c:v>
                </c:pt>
                <c:pt idx="23">
                  <c:v>28</c:v>
                </c:pt>
                <c:pt idx="28">
                  <c:v>33</c:v>
                </c:pt>
                <c:pt idx="34">
                  <c:v>10</c:v>
                </c:pt>
              </c:numCache>
            </c:numRef>
          </c:val>
          <c:smooth val="0"/>
          <c:extLst>
            <c:ext xmlns:c16="http://schemas.microsoft.com/office/drawing/2014/chart" uri="{C3380CC4-5D6E-409C-BE32-E72D297353CC}">
              <c16:uniqueId val="{00000003-B7BA-D046-9895-7ECB30ECBE26}"/>
            </c:ext>
          </c:extLst>
        </c:ser>
        <c:ser>
          <c:idx val="4"/>
          <c:order val="4"/>
          <c:tx>
            <c:strRef>
              <c:f>'MBS 1961-95'!$A$7</c:f>
              <c:strCache>
                <c:ptCount val="1"/>
                <c:pt idx="0">
                  <c:v>Nottingham</c:v>
                </c:pt>
              </c:strCache>
            </c:strRef>
          </c:tx>
          <c:cat>
            <c:numRef>
              <c:f>'MBS 1961-95'!$B$2:$AL$2</c:f>
              <c:numCache>
                <c:formatCode>General</c:formatCode>
                <c:ptCount val="37"/>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numCache>
            </c:numRef>
          </c:cat>
          <c:val>
            <c:numRef>
              <c:f>'MBS 1961-95'!$B$7:$AL$7</c:f>
              <c:numCache>
                <c:formatCode>General</c:formatCode>
                <c:ptCount val="37"/>
                <c:pt idx="0">
                  <c:v>9</c:v>
                </c:pt>
                <c:pt idx="10">
                  <c:v>12</c:v>
                </c:pt>
                <c:pt idx="23">
                  <c:v>6</c:v>
                </c:pt>
                <c:pt idx="28">
                  <c:v>7</c:v>
                </c:pt>
                <c:pt idx="34">
                  <c:v>6</c:v>
                </c:pt>
              </c:numCache>
            </c:numRef>
          </c:val>
          <c:smooth val="0"/>
          <c:extLst>
            <c:ext xmlns:c16="http://schemas.microsoft.com/office/drawing/2014/chart" uri="{C3380CC4-5D6E-409C-BE32-E72D297353CC}">
              <c16:uniqueId val="{00000004-B7BA-D046-9895-7ECB30ECBE26}"/>
            </c:ext>
          </c:extLst>
        </c:ser>
        <c:dLbls>
          <c:showLegendKey val="0"/>
          <c:showVal val="0"/>
          <c:showCatName val="0"/>
          <c:showSerName val="0"/>
          <c:showPercent val="0"/>
          <c:showBubbleSize val="0"/>
        </c:dLbls>
        <c:marker val="1"/>
        <c:smooth val="0"/>
        <c:axId val="74719232"/>
        <c:axId val="74722304"/>
      </c:lineChart>
      <c:dateAx>
        <c:axId val="74719232"/>
        <c:scaling>
          <c:orientation val="minMax"/>
        </c:scaling>
        <c:delete val="0"/>
        <c:axPos val="t"/>
        <c:numFmt formatCode="General" sourceLinked="1"/>
        <c:majorTickMark val="none"/>
        <c:minorTickMark val="none"/>
        <c:tickLblPos val="high"/>
        <c:txPr>
          <a:bodyPr rot="-5400000" vert="horz"/>
          <a:lstStyle/>
          <a:p>
            <a:pPr>
              <a:defRPr/>
            </a:pPr>
            <a:endParaRPr lang="en-US"/>
          </a:p>
        </c:txPr>
        <c:crossAx val="74722304"/>
        <c:crosses val="autoZero"/>
        <c:auto val="0"/>
        <c:lblOffset val="100"/>
        <c:baseTimeUnit val="days"/>
      </c:dateAx>
      <c:valAx>
        <c:axId val="74722304"/>
        <c:scaling>
          <c:orientation val="maxMin"/>
          <c:max val="35"/>
          <c:min val="1"/>
        </c:scaling>
        <c:delete val="0"/>
        <c:axPos val="l"/>
        <c:majorGridlines>
          <c:spPr>
            <a:ln>
              <a:solidFill>
                <a:schemeClr val="bg2"/>
              </a:solidFill>
            </a:ln>
          </c:spPr>
        </c:majorGridlines>
        <c:numFmt formatCode="General" sourceLinked="1"/>
        <c:majorTickMark val="out"/>
        <c:minorTickMark val="none"/>
        <c:tickLblPos val="low"/>
        <c:txPr>
          <a:bodyPr/>
          <a:lstStyle/>
          <a:p>
            <a:pPr>
              <a:defRPr sz="800"/>
            </a:pPr>
            <a:endParaRPr lang="en-US"/>
          </a:p>
        </c:txPr>
        <c:crossAx val="74719232"/>
        <c:crosses val="autoZero"/>
        <c:crossBetween val="between"/>
        <c:majorUnit val="1"/>
      </c:valAx>
    </c:plotArea>
    <c:legend>
      <c:legendPos val="r"/>
      <c:layout>
        <c:manualLayout>
          <c:xMode val="edge"/>
          <c:yMode val="edge"/>
          <c:x val="8.6551195920552215E-2"/>
          <c:y val="0.49702223818240737"/>
          <c:w val="0.16861062797637238"/>
          <c:h val="0.32631127300587809"/>
        </c:manualLayout>
      </c:layout>
      <c:overlay val="0"/>
      <c:txPr>
        <a:bodyPr/>
        <a:lstStyle/>
        <a:p>
          <a:pPr>
            <a:defRPr sz="900"/>
          </a:pPr>
          <a:endParaRPr lang="en-US"/>
        </a:p>
      </c:txPr>
    </c:legend>
    <c:plotVisOnly val="1"/>
    <c:dispBlanksAs val="span"/>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7345323448730245E-2"/>
          <c:y val="6.4593569125291184E-2"/>
          <c:w val="0.58447573273418085"/>
          <c:h val="0.79918289366243223"/>
        </c:manualLayout>
      </c:layout>
      <c:lineChart>
        <c:grouping val="standard"/>
        <c:varyColors val="0"/>
        <c:ser>
          <c:idx val="0"/>
          <c:order val="0"/>
          <c:tx>
            <c:strRef>
              <c:f>'Main table + graphs'!$B$15</c:f>
              <c:strCache>
                <c:ptCount val="1"/>
                <c:pt idx="0">
                  <c:v>Glasgow</c:v>
                </c:pt>
              </c:strCache>
            </c:strRef>
          </c:tx>
          <c:cat>
            <c:numRef>
              <c:f>'Main table + graphs'!$C$14:$E$14</c:f>
              <c:numCache>
                <c:formatCode>General</c:formatCode>
                <c:ptCount val="3"/>
                <c:pt idx="0">
                  <c:v>1984</c:v>
                </c:pt>
                <c:pt idx="1">
                  <c:v>1989</c:v>
                </c:pt>
                <c:pt idx="2">
                  <c:v>1995</c:v>
                </c:pt>
              </c:numCache>
            </c:numRef>
          </c:cat>
          <c:val>
            <c:numRef>
              <c:f>'Main table + graphs'!$C$6:$E$6</c:f>
              <c:numCache>
                <c:formatCode>General</c:formatCode>
                <c:ptCount val="3"/>
                <c:pt idx="0">
                  <c:v>93</c:v>
                </c:pt>
                <c:pt idx="1">
                  <c:v>132</c:v>
                </c:pt>
                <c:pt idx="2">
                  <c:v>174</c:v>
                </c:pt>
              </c:numCache>
            </c:numRef>
          </c:val>
          <c:smooth val="0"/>
          <c:extLst>
            <c:ext xmlns:c16="http://schemas.microsoft.com/office/drawing/2014/chart" uri="{C3380CC4-5D6E-409C-BE32-E72D297353CC}">
              <c16:uniqueId val="{00000000-9A84-574A-B083-5205779D4D5C}"/>
            </c:ext>
          </c:extLst>
        </c:ser>
        <c:ser>
          <c:idx val="1"/>
          <c:order val="1"/>
          <c:tx>
            <c:strRef>
              <c:f>'Main table + graphs'!$B$16</c:f>
              <c:strCache>
                <c:ptCount val="1"/>
                <c:pt idx="0">
                  <c:v>Edinburgh</c:v>
                </c:pt>
              </c:strCache>
            </c:strRef>
          </c:tx>
          <c:cat>
            <c:numRef>
              <c:f>'Main table + graphs'!$C$14:$E$14</c:f>
              <c:numCache>
                <c:formatCode>General</c:formatCode>
                <c:ptCount val="3"/>
                <c:pt idx="0">
                  <c:v>1984</c:v>
                </c:pt>
                <c:pt idx="1">
                  <c:v>1989</c:v>
                </c:pt>
                <c:pt idx="2">
                  <c:v>1995</c:v>
                </c:pt>
              </c:numCache>
            </c:numRef>
          </c:cat>
          <c:val>
            <c:numRef>
              <c:f>'Main table + graphs'!$C$7:$E$7</c:f>
              <c:numCache>
                <c:formatCode>General</c:formatCode>
                <c:ptCount val="3"/>
                <c:pt idx="0">
                  <c:v>89</c:v>
                </c:pt>
                <c:pt idx="1">
                  <c:v>100</c:v>
                </c:pt>
                <c:pt idx="2">
                  <c:v>136</c:v>
                </c:pt>
              </c:numCache>
            </c:numRef>
          </c:val>
          <c:smooth val="0"/>
          <c:extLst>
            <c:ext xmlns:c16="http://schemas.microsoft.com/office/drawing/2014/chart" uri="{C3380CC4-5D6E-409C-BE32-E72D297353CC}">
              <c16:uniqueId val="{00000001-9A84-574A-B083-5205779D4D5C}"/>
            </c:ext>
          </c:extLst>
        </c:ser>
        <c:ser>
          <c:idx val="2"/>
          <c:order val="2"/>
          <c:tx>
            <c:strRef>
              <c:f>'Main table + graphs'!$B$17</c:f>
              <c:strCache>
                <c:ptCount val="1"/>
                <c:pt idx="0">
                  <c:v>Liverpool</c:v>
                </c:pt>
              </c:strCache>
            </c:strRef>
          </c:tx>
          <c:cat>
            <c:numRef>
              <c:f>'Main table + graphs'!$C$14:$E$14</c:f>
              <c:numCache>
                <c:formatCode>General</c:formatCode>
                <c:ptCount val="3"/>
                <c:pt idx="0">
                  <c:v>1984</c:v>
                </c:pt>
                <c:pt idx="1">
                  <c:v>1989</c:v>
                </c:pt>
                <c:pt idx="2">
                  <c:v>1995</c:v>
                </c:pt>
              </c:numCache>
            </c:numRef>
          </c:cat>
          <c:val>
            <c:numRef>
              <c:f>'Main table + graphs'!$C$8:$E$8</c:f>
              <c:numCache>
                <c:formatCode>General</c:formatCode>
                <c:ptCount val="3"/>
                <c:pt idx="0">
                  <c:v>71</c:v>
                </c:pt>
                <c:pt idx="1">
                  <c:v>70</c:v>
                </c:pt>
                <c:pt idx="2">
                  <c:v>98</c:v>
                </c:pt>
              </c:numCache>
            </c:numRef>
          </c:val>
          <c:smooth val="0"/>
          <c:extLst>
            <c:ext xmlns:c16="http://schemas.microsoft.com/office/drawing/2014/chart" uri="{C3380CC4-5D6E-409C-BE32-E72D297353CC}">
              <c16:uniqueId val="{00000002-9A84-574A-B083-5205779D4D5C}"/>
            </c:ext>
          </c:extLst>
        </c:ser>
        <c:ser>
          <c:idx val="3"/>
          <c:order val="3"/>
          <c:tx>
            <c:strRef>
              <c:f>'Main table + graphs'!$B$18</c:f>
              <c:strCache>
                <c:ptCount val="1"/>
                <c:pt idx="0">
                  <c:v>Hull</c:v>
                </c:pt>
              </c:strCache>
            </c:strRef>
          </c:tx>
          <c:cat>
            <c:numRef>
              <c:f>'Main table + graphs'!$C$14:$E$14</c:f>
              <c:numCache>
                <c:formatCode>General</c:formatCode>
                <c:ptCount val="3"/>
                <c:pt idx="0">
                  <c:v>1984</c:v>
                </c:pt>
                <c:pt idx="1">
                  <c:v>1989</c:v>
                </c:pt>
                <c:pt idx="2">
                  <c:v>1995</c:v>
                </c:pt>
              </c:numCache>
            </c:numRef>
          </c:cat>
          <c:val>
            <c:numRef>
              <c:f>'Main table + graphs'!$C$9:$E$9</c:f>
              <c:numCache>
                <c:formatCode>General</c:formatCode>
                <c:ptCount val="3"/>
                <c:pt idx="0">
                  <c:v>50</c:v>
                </c:pt>
                <c:pt idx="1">
                  <c:v>57</c:v>
                </c:pt>
                <c:pt idx="2">
                  <c:v>107</c:v>
                </c:pt>
              </c:numCache>
            </c:numRef>
          </c:val>
          <c:smooth val="0"/>
          <c:extLst>
            <c:ext xmlns:c16="http://schemas.microsoft.com/office/drawing/2014/chart" uri="{C3380CC4-5D6E-409C-BE32-E72D297353CC}">
              <c16:uniqueId val="{00000003-9A84-574A-B083-5205779D4D5C}"/>
            </c:ext>
          </c:extLst>
        </c:ser>
        <c:ser>
          <c:idx val="4"/>
          <c:order val="4"/>
          <c:tx>
            <c:strRef>
              <c:f>'Main table + graphs'!$B$19</c:f>
              <c:strCache>
                <c:ptCount val="1"/>
                <c:pt idx="0">
                  <c:v>Nottingham</c:v>
                </c:pt>
              </c:strCache>
            </c:strRef>
          </c:tx>
          <c:cat>
            <c:numRef>
              <c:f>'Main table + graphs'!$C$14:$E$14</c:f>
              <c:numCache>
                <c:formatCode>General</c:formatCode>
                <c:ptCount val="3"/>
                <c:pt idx="0">
                  <c:v>1984</c:v>
                </c:pt>
                <c:pt idx="1">
                  <c:v>1989</c:v>
                </c:pt>
                <c:pt idx="2">
                  <c:v>1995</c:v>
                </c:pt>
              </c:numCache>
            </c:numRef>
          </c:cat>
          <c:val>
            <c:numRef>
              <c:f>'Main table + graphs'!$C$10:$E$10</c:f>
              <c:numCache>
                <c:formatCode>General</c:formatCode>
                <c:ptCount val="3"/>
                <c:pt idx="0">
                  <c:v>82</c:v>
                </c:pt>
                <c:pt idx="1">
                  <c:v>93</c:v>
                </c:pt>
                <c:pt idx="2">
                  <c:v>131</c:v>
                </c:pt>
              </c:numCache>
            </c:numRef>
          </c:val>
          <c:smooth val="0"/>
          <c:extLst>
            <c:ext xmlns:c16="http://schemas.microsoft.com/office/drawing/2014/chart" uri="{C3380CC4-5D6E-409C-BE32-E72D297353CC}">
              <c16:uniqueId val="{00000004-9A84-574A-B083-5205779D4D5C}"/>
            </c:ext>
          </c:extLst>
        </c:ser>
        <c:dLbls>
          <c:showLegendKey val="0"/>
          <c:showVal val="0"/>
          <c:showCatName val="0"/>
          <c:showSerName val="0"/>
          <c:showPercent val="0"/>
          <c:showBubbleSize val="0"/>
        </c:dLbls>
        <c:marker val="1"/>
        <c:smooth val="0"/>
        <c:axId val="69499136"/>
        <c:axId val="69525504"/>
      </c:lineChart>
      <c:catAx>
        <c:axId val="69499136"/>
        <c:scaling>
          <c:orientation val="minMax"/>
        </c:scaling>
        <c:delete val="0"/>
        <c:axPos val="b"/>
        <c:numFmt formatCode="General" sourceLinked="1"/>
        <c:majorTickMark val="out"/>
        <c:minorTickMark val="none"/>
        <c:tickLblPos val="nextTo"/>
        <c:crossAx val="69525504"/>
        <c:crosses val="autoZero"/>
        <c:auto val="1"/>
        <c:lblAlgn val="ctr"/>
        <c:lblOffset val="100"/>
        <c:noMultiLvlLbl val="0"/>
      </c:catAx>
      <c:valAx>
        <c:axId val="69525504"/>
        <c:scaling>
          <c:orientation val="minMax"/>
          <c:min val="25"/>
        </c:scaling>
        <c:delete val="0"/>
        <c:axPos val="l"/>
        <c:majorGridlines/>
        <c:numFmt formatCode="General" sourceLinked="1"/>
        <c:majorTickMark val="out"/>
        <c:minorTickMark val="none"/>
        <c:tickLblPos val="nextTo"/>
        <c:crossAx val="69499136"/>
        <c:crosses val="autoZero"/>
        <c:crossBetween val="between"/>
        <c:majorUnit val="25"/>
      </c:valAx>
    </c:plotArea>
    <c:legend>
      <c:legendPos val="r"/>
      <c:layout>
        <c:manualLayout>
          <c:xMode val="edge"/>
          <c:yMode val="edge"/>
          <c:x val="0.68649616015857562"/>
          <c:y val="0.25776505474253325"/>
          <c:w val="0.31350371732437432"/>
          <c:h val="0.49559818238579206"/>
        </c:manualLayout>
      </c:layout>
      <c:overlay val="0"/>
    </c:legend>
    <c:plotVisOnly val="1"/>
    <c:dispBlanksAs val="gap"/>
    <c:showDLblsOverMax val="0"/>
  </c:chart>
  <c:txPr>
    <a:bodyPr/>
    <a:lstStyle/>
    <a:p>
      <a:pPr>
        <a:defRPr sz="800"/>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5678989188094143E-2"/>
          <c:y val="5.7416488190575064E-2"/>
          <c:w val="0.59916058651043158"/>
          <c:h val="0.82149596050140172"/>
        </c:manualLayout>
      </c:layout>
      <c:lineChart>
        <c:grouping val="standard"/>
        <c:varyColors val="0"/>
        <c:ser>
          <c:idx val="0"/>
          <c:order val="0"/>
          <c:tx>
            <c:strRef>
              <c:f>'Main table + graphs'!$B$15</c:f>
              <c:strCache>
                <c:ptCount val="1"/>
                <c:pt idx="0">
                  <c:v>Glasgow</c:v>
                </c:pt>
              </c:strCache>
            </c:strRef>
          </c:tx>
          <c:cat>
            <c:numRef>
              <c:f>'Main table + graphs'!$C$14:$E$14</c:f>
              <c:numCache>
                <c:formatCode>General</c:formatCode>
                <c:ptCount val="3"/>
                <c:pt idx="0">
                  <c:v>1984</c:v>
                </c:pt>
                <c:pt idx="1">
                  <c:v>1989</c:v>
                </c:pt>
                <c:pt idx="2">
                  <c:v>1995</c:v>
                </c:pt>
              </c:numCache>
            </c:numRef>
          </c:cat>
          <c:val>
            <c:numRef>
              <c:f>'Main table + graphs'!$C$15:$E$15</c:f>
              <c:numCache>
                <c:formatCode>0</c:formatCode>
                <c:ptCount val="3"/>
                <c:pt idx="0">
                  <c:v>100</c:v>
                </c:pt>
                <c:pt idx="1">
                  <c:v>141.93548387096774</c:v>
                </c:pt>
                <c:pt idx="2">
                  <c:v>187.09677419354838</c:v>
                </c:pt>
              </c:numCache>
            </c:numRef>
          </c:val>
          <c:smooth val="0"/>
          <c:extLst>
            <c:ext xmlns:c16="http://schemas.microsoft.com/office/drawing/2014/chart" uri="{C3380CC4-5D6E-409C-BE32-E72D297353CC}">
              <c16:uniqueId val="{00000000-CA62-1B47-9D39-0D83A37069ED}"/>
            </c:ext>
          </c:extLst>
        </c:ser>
        <c:ser>
          <c:idx val="1"/>
          <c:order val="1"/>
          <c:tx>
            <c:strRef>
              <c:f>'Main table + graphs'!$B$16</c:f>
              <c:strCache>
                <c:ptCount val="1"/>
                <c:pt idx="0">
                  <c:v>Edinburgh</c:v>
                </c:pt>
              </c:strCache>
            </c:strRef>
          </c:tx>
          <c:cat>
            <c:numRef>
              <c:f>'Main table + graphs'!$C$14:$E$14</c:f>
              <c:numCache>
                <c:formatCode>General</c:formatCode>
                <c:ptCount val="3"/>
                <c:pt idx="0">
                  <c:v>1984</c:v>
                </c:pt>
                <c:pt idx="1">
                  <c:v>1989</c:v>
                </c:pt>
                <c:pt idx="2">
                  <c:v>1995</c:v>
                </c:pt>
              </c:numCache>
            </c:numRef>
          </c:cat>
          <c:val>
            <c:numRef>
              <c:f>'Main table + graphs'!$C$16:$E$16</c:f>
              <c:numCache>
                <c:formatCode>0</c:formatCode>
                <c:ptCount val="3"/>
                <c:pt idx="0">
                  <c:v>100</c:v>
                </c:pt>
                <c:pt idx="1">
                  <c:v>112.35955056179776</c:v>
                </c:pt>
                <c:pt idx="2">
                  <c:v>152.80898876404493</c:v>
                </c:pt>
              </c:numCache>
            </c:numRef>
          </c:val>
          <c:smooth val="0"/>
          <c:extLst>
            <c:ext xmlns:c16="http://schemas.microsoft.com/office/drawing/2014/chart" uri="{C3380CC4-5D6E-409C-BE32-E72D297353CC}">
              <c16:uniqueId val="{00000001-CA62-1B47-9D39-0D83A37069ED}"/>
            </c:ext>
          </c:extLst>
        </c:ser>
        <c:ser>
          <c:idx val="2"/>
          <c:order val="2"/>
          <c:tx>
            <c:strRef>
              <c:f>'Main table + graphs'!$B$17</c:f>
              <c:strCache>
                <c:ptCount val="1"/>
                <c:pt idx="0">
                  <c:v>Liverpool</c:v>
                </c:pt>
              </c:strCache>
            </c:strRef>
          </c:tx>
          <c:cat>
            <c:numRef>
              <c:f>'Main table + graphs'!$C$14:$E$14</c:f>
              <c:numCache>
                <c:formatCode>General</c:formatCode>
                <c:ptCount val="3"/>
                <c:pt idx="0">
                  <c:v>1984</c:v>
                </c:pt>
                <c:pt idx="1">
                  <c:v>1989</c:v>
                </c:pt>
                <c:pt idx="2">
                  <c:v>1995</c:v>
                </c:pt>
              </c:numCache>
            </c:numRef>
          </c:cat>
          <c:val>
            <c:numRef>
              <c:f>'Main table + graphs'!$C$17:$E$17</c:f>
              <c:numCache>
                <c:formatCode>0</c:formatCode>
                <c:ptCount val="3"/>
                <c:pt idx="0">
                  <c:v>100</c:v>
                </c:pt>
                <c:pt idx="1">
                  <c:v>98.591549295774655</c:v>
                </c:pt>
                <c:pt idx="2">
                  <c:v>138.02816901408451</c:v>
                </c:pt>
              </c:numCache>
            </c:numRef>
          </c:val>
          <c:smooth val="0"/>
          <c:extLst>
            <c:ext xmlns:c16="http://schemas.microsoft.com/office/drawing/2014/chart" uri="{C3380CC4-5D6E-409C-BE32-E72D297353CC}">
              <c16:uniqueId val="{00000002-CA62-1B47-9D39-0D83A37069ED}"/>
            </c:ext>
          </c:extLst>
        </c:ser>
        <c:ser>
          <c:idx val="3"/>
          <c:order val="3"/>
          <c:tx>
            <c:strRef>
              <c:f>'Main table + graphs'!$B$18</c:f>
              <c:strCache>
                <c:ptCount val="1"/>
                <c:pt idx="0">
                  <c:v>Hull</c:v>
                </c:pt>
              </c:strCache>
            </c:strRef>
          </c:tx>
          <c:cat>
            <c:numRef>
              <c:f>'Main table + graphs'!$C$14:$E$14</c:f>
              <c:numCache>
                <c:formatCode>General</c:formatCode>
                <c:ptCount val="3"/>
                <c:pt idx="0">
                  <c:v>1984</c:v>
                </c:pt>
                <c:pt idx="1">
                  <c:v>1989</c:v>
                </c:pt>
                <c:pt idx="2">
                  <c:v>1995</c:v>
                </c:pt>
              </c:numCache>
            </c:numRef>
          </c:cat>
          <c:val>
            <c:numRef>
              <c:f>'Main table + graphs'!$C$18:$E$18</c:f>
              <c:numCache>
                <c:formatCode>0</c:formatCode>
                <c:ptCount val="3"/>
                <c:pt idx="0">
                  <c:v>100</c:v>
                </c:pt>
                <c:pt idx="1">
                  <c:v>113.99999999999999</c:v>
                </c:pt>
                <c:pt idx="2">
                  <c:v>214</c:v>
                </c:pt>
              </c:numCache>
            </c:numRef>
          </c:val>
          <c:smooth val="0"/>
          <c:extLst>
            <c:ext xmlns:c16="http://schemas.microsoft.com/office/drawing/2014/chart" uri="{C3380CC4-5D6E-409C-BE32-E72D297353CC}">
              <c16:uniqueId val="{00000003-CA62-1B47-9D39-0D83A37069ED}"/>
            </c:ext>
          </c:extLst>
        </c:ser>
        <c:ser>
          <c:idx val="4"/>
          <c:order val="4"/>
          <c:tx>
            <c:strRef>
              <c:f>'Main table + graphs'!$B$19</c:f>
              <c:strCache>
                <c:ptCount val="1"/>
                <c:pt idx="0">
                  <c:v>Nottingham</c:v>
                </c:pt>
              </c:strCache>
            </c:strRef>
          </c:tx>
          <c:cat>
            <c:numRef>
              <c:f>'Main table + graphs'!$C$14:$E$14</c:f>
              <c:numCache>
                <c:formatCode>General</c:formatCode>
                <c:ptCount val="3"/>
                <c:pt idx="0">
                  <c:v>1984</c:v>
                </c:pt>
                <c:pt idx="1">
                  <c:v>1989</c:v>
                </c:pt>
                <c:pt idx="2">
                  <c:v>1995</c:v>
                </c:pt>
              </c:numCache>
            </c:numRef>
          </c:cat>
          <c:val>
            <c:numRef>
              <c:f>'Main table + graphs'!$C$19:$E$19</c:f>
              <c:numCache>
                <c:formatCode>0</c:formatCode>
                <c:ptCount val="3"/>
                <c:pt idx="0">
                  <c:v>100</c:v>
                </c:pt>
                <c:pt idx="1">
                  <c:v>113.41463414634146</c:v>
                </c:pt>
                <c:pt idx="2">
                  <c:v>159.7560975609756</c:v>
                </c:pt>
              </c:numCache>
            </c:numRef>
          </c:val>
          <c:smooth val="0"/>
          <c:extLst>
            <c:ext xmlns:c16="http://schemas.microsoft.com/office/drawing/2014/chart" uri="{C3380CC4-5D6E-409C-BE32-E72D297353CC}">
              <c16:uniqueId val="{00000004-CA62-1B47-9D39-0D83A37069ED}"/>
            </c:ext>
          </c:extLst>
        </c:ser>
        <c:dLbls>
          <c:showLegendKey val="0"/>
          <c:showVal val="0"/>
          <c:showCatName val="0"/>
          <c:showSerName val="0"/>
          <c:showPercent val="0"/>
          <c:showBubbleSize val="0"/>
        </c:dLbls>
        <c:marker val="1"/>
        <c:smooth val="0"/>
        <c:axId val="73341568"/>
        <c:axId val="74772864"/>
      </c:lineChart>
      <c:catAx>
        <c:axId val="73341568"/>
        <c:scaling>
          <c:orientation val="minMax"/>
        </c:scaling>
        <c:delete val="0"/>
        <c:axPos val="b"/>
        <c:numFmt formatCode="General" sourceLinked="1"/>
        <c:majorTickMark val="out"/>
        <c:minorTickMark val="none"/>
        <c:tickLblPos val="nextTo"/>
        <c:crossAx val="74772864"/>
        <c:crosses val="autoZero"/>
        <c:auto val="1"/>
        <c:lblAlgn val="ctr"/>
        <c:lblOffset val="100"/>
        <c:noMultiLvlLbl val="0"/>
      </c:catAx>
      <c:valAx>
        <c:axId val="74772864"/>
        <c:scaling>
          <c:orientation val="minMax"/>
          <c:max val="225"/>
          <c:min val="75"/>
        </c:scaling>
        <c:delete val="0"/>
        <c:axPos val="l"/>
        <c:majorGridlines/>
        <c:numFmt formatCode="0" sourceLinked="1"/>
        <c:majorTickMark val="out"/>
        <c:minorTickMark val="none"/>
        <c:tickLblPos val="nextTo"/>
        <c:crossAx val="73341568"/>
        <c:crosses val="autoZero"/>
        <c:crossBetween val="between"/>
        <c:majorUnit val="25"/>
      </c:valAx>
    </c:plotArea>
    <c:legend>
      <c:legendPos val="r"/>
      <c:layout>
        <c:manualLayout>
          <c:xMode val="edge"/>
          <c:yMode val="edge"/>
          <c:x val="0.70122324847375306"/>
          <c:y val="0.2798405876634254"/>
          <c:w val="0.29877664202798337"/>
          <c:h val="0.44041364531406246"/>
        </c:manualLayout>
      </c:layout>
      <c:overlay val="0"/>
    </c:legend>
    <c:plotVisOnly val="1"/>
    <c:dispBlanksAs val="gap"/>
    <c:showDLblsOverMax val="0"/>
  </c:chart>
  <c:txPr>
    <a:bodyPr/>
    <a:lstStyle/>
    <a:p>
      <a:pPr>
        <a:defRPr sz="800"/>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6.0773715785526809E-2"/>
          <c:y val="4.0293040293040296E-2"/>
          <c:w val="0.91303580802399698"/>
          <c:h val="0.82395517867958812"/>
        </c:manualLayout>
      </c:layout>
      <c:barChart>
        <c:barDir val="col"/>
        <c:grouping val="clustered"/>
        <c:varyColors val="0"/>
        <c:ser>
          <c:idx val="0"/>
          <c:order val="0"/>
          <c:tx>
            <c:strRef>
              <c:f>Sheet2!$A$3</c:f>
              <c:strCache>
                <c:ptCount val="1"/>
                <c:pt idx="0">
                  <c:v>Edinburgh</c:v>
                </c:pt>
              </c:strCache>
            </c:strRef>
          </c:tx>
          <c:spPr>
            <a:solidFill>
              <a:schemeClr val="accent1">
                <a:shade val="53000"/>
              </a:schemeClr>
            </a:solidFill>
            <a:ln>
              <a:noFill/>
            </a:ln>
            <a:effectLst/>
          </c:spPr>
          <c:invertIfNegative val="0"/>
          <c:cat>
            <c:numRef>
              <c:f>Sheet2!$B$2:$D$2</c:f>
              <c:numCache>
                <c:formatCode>General</c:formatCode>
                <c:ptCount val="3"/>
                <c:pt idx="0">
                  <c:v>2014</c:v>
                </c:pt>
                <c:pt idx="1">
                  <c:v>2017</c:v>
                </c:pt>
                <c:pt idx="2">
                  <c:v>2019</c:v>
                </c:pt>
              </c:numCache>
            </c:numRef>
          </c:cat>
          <c:val>
            <c:numRef>
              <c:f>Sheet2!$B$3:$D$3</c:f>
              <c:numCache>
                <c:formatCode>General</c:formatCode>
                <c:ptCount val="3"/>
                <c:pt idx="0">
                  <c:v>17</c:v>
                </c:pt>
                <c:pt idx="1">
                  <c:v>17</c:v>
                </c:pt>
                <c:pt idx="2">
                  <c:v>15</c:v>
                </c:pt>
              </c:numCache>
            </c:numRef>
          </c:val>
          <c:extLst>
            <c:ext xmlns:c16="http://schemas.microsoft.com/office/drawing/2014/chart" uri="{C3380CC4-5D6E-409C-BE32-E72D297353CC}">
              <c16:uniqueId val="{00000000-4F90-A042-9694-C906035F1866}"/>
            </c:ext>
          </c:extLst>
        </c:ser>
        <c:ser>
          <c:idx val="1"/>
          <c:order val="1"/>
          <c:tx>
            <c:strRef>
              <c:f>Sheet2!$A$4</c:f>
              <c:strCache>
                <c:ptCount val="1"/>
                <c:pt idx="0">
                  <c:v>Glasgow</c:v>
                </c:pt>
              </c:strCache>
            </c:strRef>
          </c:tx>
          <c:spPr>
            <a:solidFill>
              <a:schemeClr val="accent1">
                <a:shade val="76000"/>
              </a:schemeClr>
            </a:solidFill>
            <a:ln>
              <a:noFill/>
            </a:ln>
            <a:effectLst/>
          </c:spPr>
          <c:invertIfNegative val="0"/>
          <c:cat>
            <c:numRef>
              <c:f>Sheet2!$B$2:$D$2</c:f>
              <c:numCache>
                <c:formatCode>General</c:formatCode>
                <c:ptCount val="3"/>
                <c:pt idx="0">
                  <c:v>2014</c:v>
                </c:pt>
                <c:pt idx="1">
                  <c:v>2017</c:v>
                </c:pt>
                <c:pt idx="2">
                  <c:v>2019</c:v>
                </c:pt>
              </c:numCache>
            </c:numRef>
          </c:cat>
          <c:val>
            <c:numRef>
              <c:f>Sheet2!$B$4:$D$4</c:f>
              <c:numCache>
                <c:formatCode>General</c:formatCode>
                <c:ptCount val="3"/>
                <c:pt idx="0">
                  <c:v>56</c:v>
                </c:pt>
                <c:pt idx="1">
                  <c:v>38</c:v>
                </c:pt>
                <c:pt idx="2">
                  <c:v>33</c:v>
                </c:pt>
              </c:numCache>
            </c:numRef>
          </c:val>
          <c:extLst>
            <c:ext xmlns:c16="http://schemas.microsoft.com/office/drawing/2014/chart" uri="{C3380CC4-5D6E-409C-BE32-E72D297353CC}">
              <c16:uniqueId val="{00000001-4F90-A042-9694-C906035F1866}"/>
            </c:ext>
          </c:extLst>
        </c:ser>
        <c:ser>
          <c:idx val="2"/>
          <c:order val="2"/>
          <c:tx>
            <c:strRef>
              <c:f>Sheet2!$A$5</c:f>
              <c:strCache>
                <c:ptCount val="1"/>
                <c:pt idx="0">
                  <c:v>Hull</c:v>
                </c:pt>
              </c:strCache>
            </c:strRef>
          </c:tx>
          <c:spPr>
            <a:solidFill>
              <a:schemeClr val="accent1"/>
            </a:solidFill>
            <a:ln>
              <a:noFill/>
            </a:ln>
            <a:effectLst/>
          </c:spPr>
          <c:invertIfNegative val="0"/>
          <c:cat>
            <c:numRef>
              <c:f>Sheet2!$B$2:$D$2</c:f>
              <c:numCache>
                <c:formatCode>General</c:formatCode>
                <c:ptCount val="3"/>
                <c:pt idx="0">
                  <c:v>2014</c:v>
                </c:pt>
                <c:pt idx="1">
                  <c:v>2017</c:v>
                </c:pt>
                <c:pt idx="2">
                  <c:v>2019</c:v>
                </c:pt>
              </c:numCache>
            </c:numRef>
          </c:cat>
          <c:val>
            <c:numRef>
              <c:f>Sheet2!$B$5:$D$5</c:f>
              <c:numCache>
                <c:formatCode>General</c:formatCode>
                <c:ptCount val="3"/>
                <c:pt idx="0">
                  <c:v>170</c:v>
                </c:pt>
                <c:pt idx="1">
                  <c:v>625</c:v>
                </c:pt>
              </c:numCache>
            </c:numRef>
          </c:val>
          <c:extLst>
            <c:ext xmlns:c16="http://schemas.microsoft.com/office/drawing/2014/chart" uri="{C3380CC4-5D6E-409C-BE32-E72D297353CC}">
              <c16:uniqueId val="{00000002-4F90-A042-9694-C906035F1866}"/>
            </c:ext>
          </c:extLst>
        </c:ser>
        <c:ser>
          <c:idx val="3"/>
          <c:order val="3"/>
          <c:tx>
            <c:strRef>
              <c:f>Sheet2!$A$6</c:f>
              <c:strCache>
                <c:ptCount val="1"/>
                <c:pt idx="0">
                  <c:v>Liverpool</c:v>
                </c:pt>
              </c:strCache>
            </c:strRef>
          </c:tx>
          <c:spPr>
            <a:solidFill>
              <a:schemeClr val="accent1">
                <a:tint val="77000"/>
              </a:schemeClr>
            </a:solidFill>
            <a:ln>
              <a:noFill/>
            </a:ln>
            <a:effectLst/>
          </c:spPr>
          <c:invertIfNegative val="0"/>
          <c:cat>
            <c:numRef>
              <c:f>Sheet2!$B$2:$D$2</c:f>
              <c:numCache>
                <c:formatCode>General</c:formatCode>
                <c:ptCount val="3"/>
                <c:pt idx="0">
                  <c:v>2014</c:v>
                </c:pt>
                <c:pt idx="1">
                  <c:v>2017</c:v>
                </c:pt>
                <c:pt idx="2">
                  <c:v>2019</c:v>
                </c:pt>
              </c:numCache>
            </c:numRef>
          </c:cat>
          <c:val>
            <c:numRef>
              <c:f>Sheet2!$B$6:$D$6</c:f>
              <c:numCache>
                <c:formatCode>General</c:formatCode>
                <c:ptCount val="3"/>
                <c:pt idx="0">
                  <c:v>33</c:v>
                </c:pt>
                <c:pt idx="1">
                  <c:v>47</c:v>
                </c:pt>
                <c:pt idx="2">
                  <c:v>48</c:v>
                </c:pt>
              </c:numCache>
            </c:numRef>
          </c:val>
          <c:extLst>
            <c:ext xmlns:c16="http://schemas.microsoft.com/office/drawing/2014/chart" uri="{C3380CC4-5D6E-409C-BE32-E72D297353CC}">
              <c16:uniqueId val="{00000003-4F90-A042-9694-C906035F1866}"/>
            </c:ext>
          </c:extLst>
        </c:ser>
        <c:ser>
          <c:idx val="4"/>
          <c:order val="4"/>
          <c:tx>
            <c:strRef>
              <c:f>Sheet2!$A$7</c:f>
              <c:strCache>
                <c:ptCount val="1"/>
                <c:pt idx="0">
                  <c:v>Nottingham</c:v>
                </c:pt>
              </c:strCache>
            </c:strRef>
          </c:tx>
          <c:spPr>
            <a:solidFill>
              <a:schemeClr val="accent1">
                <a:tint val="54000"/>
              </a:schemeClr>
            </a:solidFill>
            <a:ln>
              <a:noFill/>
            </a:ln>
            <a:effectLst/>
          </c:spPr>
          <c:invertIfNegative val="0"/>
          <c:cat>
            <c:numRef>
              <c:f>Sheet2!$B$2:$D$2</c:f>
              <c:numCache>
                <c:formatCode>General</c:formatCode>
                <c:ptCount val="3"/>
                <c:pt idx="0">
                  <c:v>2014</c:v>
                </c:pt>
                <c:pt idx="1">
                  <c:v>2017</c:v>
                </c:pt>
                <c:pt idx="2">
                  <c:v>2019</c:v>
                </c:pt>
              </c:numCache>
            </c:numRef>
          </c:cat>
          <c:val>
            <c:numRef>
              <c:f>Sheet2!$B$7:$D$7</c:f>
              <c:numCache>
                <c:formatCode>General</c:formatCode>
                <c:ptCount val="3"/>
                <c:pt idx="0">
                  <c:v>52</c:v>
                </c:pt>
                <c:pt idx="1">
                  <c:v>55</c:v>
                </c:pt>
                <c:pt idx="2">
                  <c:v>54</c:v>
                </c:pt>
              </c:numCache>
            </c:numRef>
          </c:val>
          <c:extLst>
            <c:ext xmlns:c16="http://schemas.microsoft.com/office/drawing/2014/chart" uri="{C3380CC4-5D6E-409C-BE32-E72D297353CC}">
              <c16:uniqueId val="{00000004-4F90-A042-9694-C906035F1866}"/>
            </c:ext>
          </c:extLst>
        </c:ser>
        <c:dLbls>
          <c:showLegendKey val="0"/>
          <c:showVal val="0"/>
          <c:showCatName val="0"/>
          <c:showSerName val="0"/>
          <c:showPercent val="0"/>
          <c:showBubbleSize val="0"/>
        </c:dLbls>
        <c:gapWidth val="219"/>
        <c:overlap val="-27"/>
        <c:axId val="73125119"/>
        <c:axId val="73394079"/>
      </c:barChart>
      <c:catAx>
        <c:axId val="73125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394079"/>
        <c:crosses val="autoZero"/>
        <c:auto val="1"/>
        <c:lblAlgn val="ctr"/>
        <c:lblOffset val="100"/>
        <c:noMultiLvlLbl val="0"/>
      </c:catAx>
      <c:valAx>
        <c:axId val="733940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125119"/>
        <c:crosses val="autoZero"/>
        <c:crossBetween val="between"/>
      </c:valAx>
      <c:spPr>
        <a:noFill/>
        <a:ln>
          <a:noFill/>
        </a:ln>
        <a:effectLst/>
      </c:spPr>
    </c:plotArea>
    <c:legend>
      <c:legendPos val="b"/>
      <c:layout>
        <c:manualLayout>
          <c:xMode val="edge"/>
          <c:yMode val="edge"/>
          <c:x val="0.20235808023997004"/>
          <c:y val="4.1257699930365772E-2"/>
          <c:w val="0.60004574428196478"/>
          <c:h val="6.179573707132762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E14F3-9745-4B25-9655-B00B79F80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32</Pages>
  <Words>9130</Words>
  <Characters>52045</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61053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Orr</dc:creator>
  <cp:keywords/>
  <dc:description/>
  <cp:lastModifiedBy>Allison Orr</cp:lastModifiedBy>
  <cp:revision>6</cp:revision>
  <cp:lastPrinted>2021-09-08T20:39:00Z</cp:lastPrinted>
  <dcterms:created xsi:type="dcterms:W3CDTF">2022-06-27T15:37:00Z</dcterms:created>
  <dcterms:modified xsi:type="dcterms:W3CDTF">2022-06-27T18:39:00Z</dcterms:modified>
</cp:coreProperties>
</file>